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4C0A29FC"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w:t>
      </w:r>
      <w:r w:rsidR="00CF0ADB">
        <w:rPr>
          <w:rFonts w:ascii="Arial" w:hAnsi="Arial" w:cs="Arial"/>
          <w:b/>
          <w:sz w:val="24"/>
          <w:lang w:val="en-US"/>
        </w:rPr>
        <w:t>8bis</w:t>
      </w:r>
      <w:r w:rsidR="00022258">
        <w:rPr>
          <w:rFonts w:ascii="Arial" w:hAnsi="Arial" w:cs="Arial"/>
          <w:b/>
          <w:sz w:val="24"/>
          <w:lang w:val="en-US"/>
        </w:rPr>
        <w:t xml:space="preserve">   </w:t>
      </w:r>
      <w:r w:rsidRPr="00E50451">
        <w:rPr>
          <w:rFonts w:ascii="Arial" w:hAnsi="Arial" w:cs="Arial"/>
          <w:b/>
          <w:color w:val="FF0000"/>
          <w:sz w:val="24"/>
        </w:rPr>
        <w:t xml:space="preserve">                                                        </w:t>
      </w:r>
      <w:r w:rsidRPr="00DC461C">
        <w:rPr>
          <w:rFonts w:ascii="Arial" w:hAnsi="Arial" w:cs="Arial"/>
          <w:b/>
          <w:sz w:val="24"/>
        </w:rPr>
        <w:tab/>
        <w:t xml:space="preserve">   </w:t>
      </w:r>
      <w:r w:rsidR="00CF0ADB">
        <w:rPr>
          <w:rFonts w:ascii="Arial" w:hAnsi="Arial" w:cs="Arial"/>
          <w:b/>
          <w:sz w:val="24"/>
        </w:rPr>
        <w:t xml:space="preserve">    </w:t>
      </w:r>
      <w:r w:rsidR="00022258" w:rsidRPr="00022258">
        <w:rPr>
          <w:rFonts w:ascii="Arial" w:hAnsi="Arial" w:cs="Arial"/>
          <w:b/>
          <w:color w:val="000000" w:themeColor="text1"/>
          <w:sz w:val="24"/>
        </w:rPr>
        <w:t>R1-</w:t>
      </w:r>
      <w:r w:rsidR="00B86CE6" w:rsidRPr="00022258">
        <w:rPr>
          <w:rFonts w:ascii="Arial" w:hAnsi="Arial" w:cs="Arial"/>
          <w:b/>
          <w:color w:val="000000" w:themeColor="text1"/>
          <w:sz w:val="24"/>
        </w:rPr>
        <w:t>19</w:t>
      </w:r>
      <w:r w:rsidR="00CF0ADB">
        <w:rPr>
          <w:rFonts w:ascii="Arial" w:hAnsi="Arial" w:cs="Arial"/>
          <w:b/>
          <w:color w:val="000000" w:themeColor="text1"/>
          <w:sz w:val="24"/>
        </w:rPr>
        <w:t>10641</w:t>
      </w:r>
    </w:p>
    <w:p w14:paraId="2D167348" w14:textId="55E59BA7" w:rsidR="00D67222" w:rsidRDefault="001C4C68"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Pr>
          <w:rFonts w:ascii="Arial" w:hAnsi="Arial" w:cs="Arial"/>
          <w:b/>
          <w:bCs/>
          <w:color w:val="000000" w:themeColor="text1"/>
          <w:sz w:val="24"/>
          <w:lang w:val="en-US"/>
        </w:rPr>
        <w:t>Chongqing</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China</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October</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14</w:t>
      </w:r>
      <w:r w:rsidRPr="001C4C68">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20</w:t>
      </w:r>
      <w:r w:rsidRPr="001C4C68">
        <w:rPr>
          <w:rFonts w:ascii="Arial" w:hAnsi="Arial" w:cs="Arial"/>
          <w:b/>
          <w:bCs/>
          <w:color w:val="000000" w:themeColor="text1"/>
          <w:sz w:val="24"/>
          <w:vertAlign w:val="superscript"/>
          <w:lang w:val="en-US"/>
        </w:rPr>
        <w:t>th</w:t>
      </w:r>
      <w:r w:rsidR="00B86CE6" w:rsidRPr="00B86CE6">
        <w:rPr>
          <w:rFonts w:ascii="Arial" w:hAnsi="Arial" w:cs="Arial"/>
          <w:b/>
          <w:bCs/>
          <w:color w:val="000000" w:themeColor="text1"/>
          <w:sz w:val="24"/>
          <w:lang w:val="en-US"/>
        </w:rPr>
        <w:t>, 2019</w:t>
      </w:r>
      <w:r w:rsidR="00022258" w:rsidRPr="00022258">
        <w:rPr>
          <w:rFonts w:ascii="Arial" w:hAnsi="Arial" w:cs="Arial"/>
          <w:b/>
          <w:bCs/>
          <w:color w:val="000000" w:themeColor="text1"/>
          <w:sz w:val="24"/>
          <w:lang w:val="en-US"/>
        </w:rPr>
        <w:t xml:space="preserve">  </w:t>
      </w:r>
    </w:p>
    <w:p w14:paraId="486093FC" w14:textId="77777777" w:rsidR="00022258" w:rsidRPr="00E047A5" w:rsidRDefault="00022258"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638FB3CC"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BA0C46">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3F2EDC2D"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A0C46" w:rsidRPr="00BA0C46">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00203947">
      <w:r>
        <w:t xml:space="preserve">In this contribution, </w:t>
      </w:r>
      <w:r w:rsidR="006415E5">
        <w:t xml:space="preserve">the following aspects related to </w:t>
      </w:r>
      <w:r w:rsidR="00166B6E">
        <w:t xml:space="preserve">initial access </w:t>
      </w:r>
      <w:r w:rsidR="009B19F0">
        <w:t xml:space="preserve">and mobility procedures </w:t>
      </w:r>
      <w:r w:rsidR="00B2411E">
        <w:t>are addressed</w:t>
      </w:r>
      <w:r w:rsidR="006415E5">
        <w:t>:</w:t>
      </w:r>
    </w:p>
    <w:p w14:paraId="48BE6BE7" w14:textId="028142C2" w:rsidR="00B92B64" w:rsidRPr="009B19F0" w:rsidRDefault="0032689E" w:rsidP="00B92B64">
      <w:pPr>
        <w:pStyle w:val="ListParagraph"/>
        <w:numPr>
          <w:ilvl w:val="0"/>
          <w:numId w:val="7"/>
        </w:numPr>
      </w:pPr>
      <w:r>
        <w:rPr>
          <w:rFonts w:eastAsia="Times New Roman"/>
        </w:rPr>
        <w:t>Indication of Q</w:t>
      </w:r>
    </w:p>
    <w:p w14:paraId="36D85ED6" w14:textId="77777777" w:rsidR="0032689E" w:rsidRPr="0032689E" w:rsidRDefault="0032689E" w:rsidP="00B92B64">
      <w:pPr>
        <w:pStyle w:val="ListParagraph"/>
        <w:numPr>
          <w:ilvl w:val="0"/>
          <w:numId w:val="7"/>
        </w:numPr>
      </w:pPr>
      <w:r>
        <w:rPr>
          <w:rFonts w:eastAsia="Times New Roman"/>
        </w:rPr>
        <w:t>Remaining issues on PDCCH monitoring occasions</w:t>
      </w:r>
    </w:p>
    <w:p w14:paraId="1D25F548" w14:textId="0B4D0CF9" w:rsidR="00B92B64" w:rsidRPr="0032689E" w:rsidRDefault="0032689E" w:rsidP="00B92B64">
      <w:pPr>
        <w:pStyle w:val="ListParagraph"/>
        <w:numPr>
          <w:ilvl w:val="0"/>
          <w:numId w:val="7"/>
        </w:numPr>
      </w:pPr>
      <w:r>
        <w:rPr>
          <w:rFonts w:eastAsia="Times New Roman"/>
          <w:i/>
        </w:rPr>
        <w:t>s</w:t>
      </w:r>
      <w:r w:rsidRPr="0032689E">
        <w:rPr>
          <w:rFonts w:eastAsia="Times New Roman"/>
          <w:i/>
        </w:rPr>
        <w:t>sb-PositionsInBurst</w:t>
      </w:r>
      <w:r>
        <w:rPr>
          <w:rFonts w:eastAsia="Times New Roman"/>
        </w:rPr>
        <w:t xml:space="preserve"> functions</w:t>
      </w:r>
      <w:r w:rsidR="00B92B64">
        <w:rPr>
          <w:rFonts w:eastAsia="Times New Roman"/>
        </w:rPr>
        <w:t xml:space="preserve"> </w:t>
      </w:r>
    </w:p>
    <w:p w14:paraId="25F753A5" w14:textId="000E7205" w:rsidR="0032689E" w:rsidRPr="009B19F0" w:rsidRDefault="0032689E" w:rsidP="00B92B64">
      <w:pPr>
        <w:pStyle w:val="ListParagraph"/>
        <w:numPr>
          <w:ilvl w:val="0"/>
          <w:numId w:val="7"/>
        </w:numPr>
      </w:pPr>
      <w:r>
        <w:rPr>
          <w:rFonts w:eastAsia="Times New Roman"/>
        </w:rPr>
        <w:t>RSSI and CO</w:t>
      </w:r>
    </w:p>
    <w:p w14:paraId="543F8A52" w14:textId="77777777" w:rsidR="00B92B64" w:rsidRPr="0032689E" w:rsidRDefault="00B92B64" w:rsidP="00B92B64">
      <w:pPr>
        <w:pStyle w:val="ListParagraph"/>
        <w:numPr>
          <w:ilvl w:val="0"/>
          <w:numId w:val="7"/>
        </w:numPr>
      </w:pPr>
      <w:r>
        <w:rPr>
          <w:rFonts w:eastAsia="Times New Roman"/>
        </w:rPr>
        <w:t>RRM</w:t>
      </w:r>
    </w:p>
    <w:p w14:paraId="4538D14E" w14:textId="2FC26C9D" w:rsidR="0032689E" w:rsidRPr="0009416B" w:rsidRDefault="0032689E" w:rsidP="00B92B64">
      <w:pPr>
        <w:pStyle w:val="ListParagraph"/>
        <w:numPr>
          <w:ilvl w:val="0"/>
          <w:numId w:val="7"/>
        </w:numPr>
      </w:pPr>
      <w:r>
        <w:rPr>
          <w:rFonts w:eastAsia="Times New Roman"/>
        </w:rPr>
        <w:t>RLM</w:t>
      </w:r>
    </w:p>
    <w:p w14:paraId="24AA615B" w14:textId="4C9B7381" w:rsidR="00B92B64" w:rsidRPr="00166B6E" w:rsidRDefault="00B92B64" w:rsidP="00B92B64">
      <w:pPr>
        <w:pStyle w:val="ListParagraph"/>
        <w:numPr>
          <w:ilvl w:val="0"/>
          <w:numId w:val="7"/>
        </w:numPr>
      </w:pPr>
      <w:r>
        <w:rPr>
          <w:rFonts w:eastAsia="Times New Roman"/>
        </w:rPr>
        <w:t>Enhancements to</w:t>
      </w:r>
      <w:r w:rsidR="00EE5B6C">
        <w:rPr>
          <w:rFonts w:eastAsia="Times New Roman"/>
        </w:rPr>
        <w:t xml:space="preserve"> the</w:t>
      </w:r>
      <w:r>
        <w:rPr>
          <w:rFonts w:eastAsia="Times New Roman"/>
        </w:rPr>
        <w:t xml:space="preserve"> 4-step random access procedure</w:t>
      </w:r>
    </w:p>
    <w:p w14:paraId="25CE136D" w14:textId="54D41076" w:rsidR="00CB3911" w:rsidRDefault="00033958" w:rsidP="00CB3911">
      <w:pPr>
        <w:pStyle w:val="Heading1"/>
        <w:keepNext w:val="0"/>
        <w:widowControl w:val="0"/>
        <w:spacing w:before="480" w:after="240"/>
        <w:ind w:left="518" w:hanging="518"/>
        <w:rPr>
          <w:sz w:val="28"/>
        </w:rPr>
      </w:pPr>
      <w:r>
        <w:rPr>
          <w:sz w:val="28"/>
        </w:rPr>
        <w:t>Indication of Q</w:t>
      </w:r>
    </w:p>
    <w:p w14:paraId="05CD1928" w14:textId="77777777" w:rsidR="003E1D42" w:rsidRDefault="003E1D42" w:rsidP="003E1D42">
      <w:pPr>
        <w:rPr>
          <w:i/>
          <w:u w:val="single"/>
        </w:rPr>
      </w:pPr>
      <w:r w:rsidRPr="00055A1E">
        <w:rPr>
          <w:i/>
          <w:u w:val="single"/>
        </w:rPr>
        <w:t>During initial access</w:t>
      </w:r>
    </w:p>
    <w:p w14:paraId="284AD791" w14:textId="38DF02B0" w:rsidR="003E1D42" w:rsidRDefault="003E1D42" w:rsidP="003E1D42">
      <w:r>
        <w:t xml:space="preserve">During initial access after detection of </w:t>
      </w:r>
      <w:r w:rsidR="0009540F">
        <w:t>SSB</w:t>
      </w:r>
      <w:r>
        <w:t>, Type-0 PDCCH monitoring is performed. If Q is present in PBCH/MIB then the Type-0 PDCCH monitoring slots can be l</w:t>
      </w:r>
      <w:r w:rsidR="0009540F">
        <w:t xml:space="preserve">imited to slots associated with a particular beam, </w:t>
      </w:r>
      <w:r>
        <w:t xml:space="preserve">SSB-i. In the absence of Q, a UE would/could monitor Type-0 PDCCH in slots associated with any </w:t>
      </w:r>
      <w:r w:rsidR="0009540F">
        <w:t xml:space="preserve">and all </w:t>
      </w:r>
      <w:r>
        <w:t>SSB</w:t>
      </w:r>
      <w:r w:rsidR="0009540F">
        <w:t xml:space="preserve"> beams</w:t>
      </w:r>
      <w:r>
        <w:t>.</w:t>
      </w:r>
    </w:p>
    <w:p w14:paraId="5A3CACD1" w14:textId="77777777" w:rsidR="003E1D42" w:rsidRDefault="003E1D42" w:rsidP="003E1D42">
      <w:r>
        <w:t xml:space="preserve">As an example, considering a 5ms DRS duration, in the following figure we show the Type-0 PDCCH monitoring slots (shaded) if the UE is aware of Q information (assume Q=8) or not. Note that Type-0 PDCCH monitoring may not be limited to a DRS window. </w:t>
      </w:r>
    </w:p>
    <w:p w14:paraId="64BEB147" w14:textId="54DD87B1" w:rsidR="003E1D42" w:rsidRDefault="003E1D42" w:rsidP="003E1D42">
      <w:r>
        <w:t xml:space="preserve">In our view, this impact is </w:t>
      </w:r>
      <w:r w:rsidR="003D167D">
        <w:t>quite limited</w:t>
      </w:r>
      <w:r>
        <w:t xml:space="preserve"> because the situation only occurs during initial access (not in CONNECTED MODE).</w:t>
      </w:r>
    </w:p>
    <w:p w14:paraId="02A3EB74" w14:textId="56DB510F" w:rsidR="003E1D42" w:rsidRDefault="003D167D" w:rsidP="003E1D42">
      <w:pPr>
        <w:keepNext/>
        <w:jc w:val="center"/>
      </w:pPr>
      <w:r w:rsidRPr="003D167D">
        <w:rPr>
          <w:noProof/>
          <w:lang w:val="en-US" w:eastAsia="ko-KR"/>
        </w:rPr>
        <w:drawing>
          <wp:inline distT="0" distB="0" distL="0" distR="0" wp14:anchorId="36C18CBC" wp14:editId="62C93192">
            <wp:extent cx="4215384" cy="25054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5384" cy="2505456"/>
                    </a:xfrm>
                    <a:prstGeom prst="rect">
                      <a:avLst/>
                    </a:prstGeom>
                  </pic:spPr>
                </pic:pic>
              </a:graphicData>
            </a:graphic>
          </wp:inline>
        </w:drawing>
      </w:r>
    </w:p>
    <w:p w14:paraId="658C81E0" w14:textId="77777777" w:rsidR="003E1D42" w:rsidRPr="00364F23" w:rsidRDefault="003E1D42" w:rsidP="003E1D42">
      <w:pPr>
        <w:pStyle w:val="Caption"/>
        <w:jc w:val="center"/>
        <w:rPr>
          <w:sz w:val="20"/>
          <w:szCs w:val="20"/>
        </w:rPr>
      </w:pPr>
      <w:r w:rsidRPr="00364F23">
        <w:rPr>
          <w:sz w:val="20"/>
          <w:szCs w:val="20"/>
        </w:rPr>
        <w:t xml:space="preserve">Figure </w:t>
      </w:r>
      <w:r w:rsidRPr="00364F23">
        <w:rPr>
          <w:sz w:val="20"/>
          <w:szCs w:val="20"/>
        </w:rPr>
        <w:fldChar w:fldCharType="begin"/>
      </w:r>
      <w:r w:rsidRPr="00364F23">
        <w:rPr>
          <w:sz w:val="20"/>
          <w:szCs w:val="20"/>
        </w:rPr>
        <w:instrText xml:space="preserve"> SEQ Figure \* ARABIC </w:instrText>
      </w:r>
      <w:r w:rsidRPr="00364F23">
        <w:rPr>
          <w:sz w:val="20"/>
          <w:szCs w:val="20"/>
        </w:rPr>
        <w:fldChar w:fldCharType="separate"/>
      </w:r>
      <w:r w:rsidR="00850659">
        <w:rPr>
          <w:noProof/>
          <w:sz w:val="20"/>
          <w:szCs w:val="20"/>
        </w:rPr>
        <w:t>1</w:t>
      </w:r>
      <w:r w:rsidRPr="00364F23">
        <w:rPr>
          <w:sz w:val="20"/>
          <w:szCs w:val="20"/>
        </w:rPr>
        <w:fldChar w:fldCharType="end"/>
      </w:r>
      <w:r w:rsidRPr="00364F23">
        <w:rPr>
          <w:sz w:val="20"/>
          <w:szCs w:val="20"/>
        </w:rPr>
        <w:t>: Type-0 PDCCH monitoring slots can be reduced if Q is known</w:t>
      </w:r>
    </w:p>
    <w:p w14:paraId="5A5F6C2E" w14:textId="77777777" w:rsidR="003E1D42" w:rsidRDefault="003E1D42" w:rsidP="003E1D42"/>
    <w:p w14:paraId="19C61095" w14:textId="77777777" w:rsidR="003E1D42" w:rsidRDefault="003E1D42" w:rsidP="003E1D42">
      <w:pPr>
        <w:rPr>
          <w:i/>
          <w:u w:val="single"/>
        </w:rPr>
      </w:pPr>
      <w:r w:rsidRPr="00055A1E">
        <w:rPr>
          <w:i/>
          <w:u w:val="single"/>
        </w:rPr>
        <w:t xml:space="preserve">During </w:t>
      </w:r>
      <w:r>
        <w:rPr>
          <w:i/>
          <w:u w:val="single"/>
        </w:rPr>
        <w:t>RRM measurements</w:t>
      </w:r>
    </w:p>
    <w:p w14:paraId="5E76DEDF" w14:textId="6D3C9661" w:rsidR="003E1D42" w:rsidRDefault="003E1D42" w:rsidP="003E1D42">
      <w:r>
        <w:lastRenderedPageBreak/>
        <w:t xml:space="preserve">We assume, for the purposes of discussion, that Q value of a neighbour cell is unknown to a UE. In such a case the UE may use Q=8 for neighbour cell measurements. If the true value of Q used by the neighbour cell is Q=1 instead, then this situation results in the UE determining 8 very similar beam qualities and also each beam quality measurement would take longer to reach a pre-defined accuracy requirement (compared to the case where Q is known and all measurement samples could be averaged). This is shown in </w:t>
      </w:r>
      <w:r>
        <w:fldChar w:fldCharType="begin"/>
      </w:r>
      <w:r>
        <w:instrText xml:space="preserve"> REF _Ref20321925 \h </w:instrText>
      </w:r>
      <w:r>
        <w:fldChar w:fldCharType="separate"/>
      </w:r>
      <w:r w:rsidR="00BA4D91" w:rsidRPr="00364F23">
        <w:rPr>
          <w:szCs w:val="20"/>
        </w:rPr>
        <w:t xml:space="preserve">Figure </w:t>
      </w:r>
      <w:r w:rsidR="00BA4D91">
        <w:rPr>
          <w:noProof/>
          <w:szCs w:val="20"/>
        </w:rPr>
        <w:t>2</w:t>
      </w:r>
      <w:r>
        <w:fldChar w:fldCharType="end"/>
      </w:r>
      <w:r>
        <w:t>.</w:t>
      </w:r>
    </w:p>
    <w:p w14:paraId="1150FA70" w14:textId="77777777" w:rsidR="003E1D42" w:rsidRDefault="003E1D42" w:rsidP="003E1D42"/>
    <w:p w14:paraId="6AA463F7" w14:textId="6864011F" w:rsidR="003E1D42" w:rsidRDefault="003E1D42" w:rsidP="003E1D42">
      <w:r>
        <w:t xml:space="preserve">It has been mentioned in RAN1 that Q value for neighbour cells can be indicated to the UE using higher-layer signalling for beam quality measurements. In our view such signalling would be optional because it can onerous for the NW to identify neighbours and provide such information </w:t>
      </w:r>
      <w:r w:rsidR="00FA2117">
        <w:t xml:space="preserve">to a UE </w:t>
      </w:r>
      <w:r>
        <w:t>in all situations</w:t>
      </w:r>
      <w:r w:rsidR="00FA2117">
        <w:t xml:space="preserve"> in an efficient manner</w:t>
      </w:r>
      <w:r>
        <w:t>. The presence of Q in the PBCH allows a UE to decode PBCH selectively and improve measurement quality.</w:t>
      </w:r>
    </w:p>
    <w:p w14:paraId="3F9BED4C" w14:textId="77777777" w:rsidR="003E1D42" w:rsidRPr="00364F23" w:rsidRDefault="003E1D42" w:rsidP="003E1D42"/>
    <w:p w14:paraId="5BEB4C08" w14:textId="77777777" w:rsidR="003E1D42" w:rsidRDefault="003E1D42" w:rsidP="003E1D42"/>
    <w:p w14:paraId="6CD0BD6C" w14:textId="77777777" w:rsidR="003E1D42" w:rsidRDefault="003E1D42" w:rsidP="003E1D42">
      <w:pPr>
        <w:keepNext/>
        <w:jc w:val="center"/>
      </w:pPr>
      <w:r w:rsidRPr="00E940B0">
        <w:rPr>
          <w:noProof/>
          <w:lang w:val="en-US" w:eastAsia="ko-KR"/>
        </w:rPr>
        <w:drawing>
          <wp:inline distT="0" distB="0" distL="0" distR="0" wp14:anchorId="715E4D34" wp14:editId="49C4AEBD">
            <wp:extent cx="4489704" cy="147218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9704" cy="1472184"/>
                    </a:xfrm>
                    <a:prstGeom prst="rect">
                      <a:avLst/>
                    </a:prstGeom>
                  </pic:spPr>
                </pic:pic>
              </a:graphicData>
            </a:graphic>
          </wp:inline>
        </w:drawing>
      </w:r>
    </w:p>
    <w:p w14:paraId="1EFFD55E" w14:textId="77777777" w:rsidR="003E1D42" w:rsidRDefault="003E1D42" w:rsidP="003E1D42">
      <w:pPr>
        <w:pStyle w:val="Caption"/>
        <w:jc w:val="center"/>
        <w:rPr>
          <w:sz w:val="20"/>
          <w:szCs w:val="20"/>
        </w:rPr>
      </w:pPr>
      <w:bookmarkStart w:id="1" w:name="_Ref20321925"/>
      <w:r w:rsidRPr="00364F23">
        <w:rPr>
          <w:sz w:val="20"/>
          <w:szCs w:val="20"/>
        </w:rPr>
        <w:t xml:space="preserve">Figure </w:t>
      </w:r>
      <w:r w:rsidRPr="00364F23">
        <w:rPr>
          <w:sz w:val="20"/>
          <w:szCs w:val="20"/>
        </w:rPr>
        <w:fldChar w:fldCharType="begin"/>
      </w:r>
      <w:r w:rsidRPr="00364F23">
        <w:rPr>
          <w:sz w:val="20"/>
          <w:szCs w:val="20"/>
        </w:rPr>
        <w:instrText xml:space="preserve"> SEQ Figure \* ARABIC </w:instrText>
      </w:r>
      <w:r w:rsidRPr="00364F23">
        <w:rPr>
          <w:sz w:val="20"/>
          <w:szCs w:val="20"/>
        </w:rPr>
        <w:fldChar w:fldCharType="separate"/>
      </w:r>
      <w:r w:rsidR="00850659">
        <w:rPr>
          <w:noProof/>
          <w:sz w:val="20"/>
          <w:szCs w:val="20"/>
        </w:rPr>
        <w:t>2</w:t>
      </w:r>
      <w:r w:rsidRPr="00364F23">
        <w:rPr>
          <w:sz w:val="20"/>
          <w:szCs w:val="20"/>
        </w:rPr>
        <w:fldChar w:fldCharType="end"/>
      </w:r>
      <w:bookmarkEnd w:id="1"/>
      <w:r w:rsidRPr="00364F23">
        <w:rPr>
          <w:sz w:val="20"/>
          <w:szCs w:val="20"/>
        </w:rPr>
        <w:t xml:space="preserve">: </w:t>
      </w:r>
      <w:r>
        <w:rPr>
          <w:sz w:val="20"/>
          <w:szCs w:val="20"/>
        </w:rPr>
        <w:t>If Q=1 is known then all measurements could be averaged for beam quality. If Q is unknown (UE assumes Q=8) and it would take longer to determine beam quality.</w:t>
      </w:r>
    </w:p>
    <w:p w14:paraId="57A937CF" w14:textId="77777777" w:rsidR="003E1D42" w:rsidRDefault="003E1D42" w:rsidP="003E1D42"/>
    <w:p w14:paraId="6782C8A1" w14:textId="58235306" w:rsidR="00CB3911" w:rsidRDefault="003E1D42" w:rsidP="003E1D42">
      <w:r w:rsidRPr="005C1E26">
        <w:rPr>
          <w:b/>
          <w:i/>
        </w:rPr>
        <w:t>Observation</w:t>
      </w:r>
      <w:r w:rsidR="009605BD">
        <w:rPr>
          <w:b/>
          <w:i/>
        </w:rPr>
        <w:t>-1</w:t>
      </w:r>
      <w:r w:rsidRPr="005C1E26">
        <w:rPr>
          <w:b/>
          <w:i/>
        </w:rPr>
        <w:t>: Placement of Q in PBCH/MIB allows for flexibility in the UE obtaining neighbour cell Q for improving RRM measurements.</w:t>
      </w:r>
    </w:p>
    <w:p w14:paraId="40576043" w14:textId="45CE6AB2" w:rsidR="004E5BC2" w:rsidRDefault="004E5BC2" w:rsidP="004E5BC2">
      <w:pPr>
        <w:pStyle w:val="Heading1"/>
        <w:keepNext w:val="0"/>
        <w:widowControl w:val="0"/>
        <w:spacing w:before="480" w:after="240"/>
        <w:ind w:left="518" w:hanging="518"/>
        <w:rPr>
          <w:rFonts w:eastAsia="Times New Roman"/>
        </w:rPr>
      </w:pPr>
      <w:bookmarkStart w:id="2" w:name="_Ref20384848"/>
      <w:r>
        <w:rPr>
          <w:rFonts w:eastAsia="Times New Roman"/>
        </w:rPr>
        <w:t>Remaining issues on PDCCH monitoring occasions</w:t>
      </w:r>
      <w:bookmarkEnd w:id="2"/>
    </w:p>
    <w:p w14:paraId="37CA678E" w14:textId="77777777" w:rsidR="004E5BC2" w:rsidRPr="004530D2" w:rsidRDefault="004E5BC2" w:rsidP="004E5BC2">
      <w:pPr>
        <w:rPr>
          <w:u w:val="single"/>
        </w:rPr>
      </w:pPr>
    </w:p>
    <w:tbl>
      <w:tblPr>
        <w:tblStyle w:val="TableGrid"/>
        <w:tblW w:w="0" w:type="auto"/>
        <w:tblLook w:val="04A0" w:firstRow="1" w:lastRow="0" w:firstColumn="1" w:lastColumn="0" w:noHBand="0" w:noVBand="1"/>
      </w:tblPr>
      <w:tblGrid>
        <w:gridCol w:w="9919"/>
      </w:tblGrid>
      <w:tr w:rsidR="004E5BC2" w14:paraId="68FF2011" w14:textId="77777777" w:rsidTr="00A87220">
        <w:tc>
          <w:tcPr>
            <w:tcW w:w="9919" w:type="dxa"/>
          </w:tcPr>
          <w:p w14:paraId="6AF37FFC" w14:textId="77777777" w:rsidR="004E5BC2" w:rsidRDefault="004E5BC2" w:rsidP="00A87220">
            <w:pPr>
              <w:pStyle w:val="ListParagraph"/>
              <w:ind w:left="0"/>
              <w:rPr>
                <w:lang w:eastAsia="ja-JP"/>
              </w:rPr>
            </w:pPr>
            <w:r w:rsidRPr="008E2743">
              <w:rPr>
                <w:highlight w:val="green"/>
                <w:lang w:eastAsia="ja-JP"/>
              </w:rPr>
              <w:t>Agreement:</w:t>
            </w:r>
          </w:p>
          <w:p w14:paraId="1A81D8BD" w14:textId="77777777" w:rsidR="004E5BC2" w:rsidRDefault="004E5BC2" w:rsidP="00A87220">
            <w:pPr>
              <w:pStyle w:val="ListParagraph"/>
              <w:ind w:left="0"/>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02649D9C" w14:textId="77777777" w:rsidR="004E5BC2" w:rsidRDefault="004E5BC2" w:rsidP="004E5BC2">
            <w:pPr>
              <w:pStyle w:val="ListParagraph"/>
              <w:numPr>
                <w:ilvl w:val="0"/>
                <w:numId w:val="19"/>
              </w:numPr>
              <w:rPr>
                <w:lang w:eastAsia="ja-JP"/>
              </w:rPr>
            </w:pPr>
            <w:r>
              <w:rPr>
                <w:lang w:eastAsia="ja-JP"/>
              </w:rPr>
              <w:t>Note: Q may be always known depending on where Q is signalled. This aspect is to be discussed further.</w:t>
            </w:r>
          </w:p>
        </w:tc>
      </w:tr>
    </w:tbl>
    <w:p w14:paraId="1E7E2770" w14:textId="77777777" w:rsidR="004E5BC2" w:rsidRDefault="004E5BC2" w:rsidP="004E5BC2"/>
    <w:p w14:paraId="68BBB672" w14:textId="77777777" w:rsidR="004E5BC2" w:rsidRDefault="004E5BC2" w:rsidP="004E5BC2">
      <w:pPr>
        <w:rPr>
          <w:szCs w:val="20"/>
        </w:rPr>
      </w:pPr>
      <w:r>
        <w:t xml:space="preserve">In Rel-15, a UE is able to receive DCI formats with CRC scrambled with C-RNTI on a search space set associated with CORESET#0 (assume active BWP is same as initial BWP). In such case a UE monitors corresponding </w:t>
      </w:r>
      <w:r>
        <w:rPr>
          <w:szCs w:val="20"/>
        </w:rPr>
        <w:t>PDCCH candidates only at monitoring occasions associated with a SS/PBCH block index which is either indicated by MAC-CE or known through a random access procedure. A natural extension of the above agreement is to require the UE to monitor corresponding PDCCH candidates at monitoring occasions associated with a set of SS/PBCH block indices that are QCL.</w:t>
      </w:r>
    </w:p>
    <w:p w14:paraId="04532D8D" w14:textId="77777777" w:rsidR="004E5BC2" w:rsidRDefault="004E5BC2" w:rsidP="004E5BC2">
      <w:pPr>
        <w:rPr>
          <w:b/>
          <w:i/>
          <w:szCs w:val="20"/>
        </w:rPr>
      </w:pPr>
    </w:p>
    <w:p w14:paraId="1AE0086E" w14:textId="4A89E90A" w:rsidR="004E5BC2" w:rsidRPr="004E5BC2" w:rsidRDefault="004E5BC2" w:rsidP="004E5BC2">
      <w:r w:rsidRPr="005C1E26">
        <w:rPr>
          <w:b/>
          <w:i/>
          <w:szCs w:val="20"/>
        </w:rPr>
        <w:t>Proposal</w:t>
      </w:r>
      <w:r w:rsidR="009605BD">
        <w:rPr>
          <w:b/>
          <w:i/>
          <w:szCs w:val="20"/>
        </w:rPr>
        <w:t>-2</w:t>
      </w:r>
      <w:r w:rsidRPr="005C1E26">
        <w:rPr>
          <w:b/>
          <w:i/>
          <w:szCs w:val="20"/>
        </w:rPr>
        <w:t xml:space="preserve">: </w:t>
      </w:r>
      <w:r w:rsidR="001103D2">
        <w:rPr>
          <w:b/>
          <w:i/>
          <w:szCs w:val="20"/>
        </w:rPr>
        <w:t>Extend</w:t>
      </w:r>
      <w:r w:rsidRPr="005C1E26">
        <w:rPr>
          <w:b/>
          <w:i/>
          <w:szCs w:val="20"/>
        </w:rPr>
        <w:t xml:space="preserve"> PDCCH monitoring of a search space associated with CO</w:t>
      </w:r>
      <w:r>
        <w:rPr>
          <w:b/>
          <w:i/>
          <w:szCs w:val="20"/>
        </w:rPr>
        <w:t xml:space="preserve">RESET#0 to </w:t>
      </w:r>
      <w:r w:rsidR="001103D2">
        <w:rPr>
          <w:b/>
          <w:i/>
          <w:szCs w:val="20"/>
        </w:rPr>
        <w:t>a set of</w:t>
      </w:r>
      <w:r>
        <w:rPr>
          <w:b/>
          <w:i/>
          <w:szCs w:val="20"/>
        </w:rPr>
        <w:t xml:space="preserve"> SS/PBCH block indices</w:t>
      </w:r>
      <w:r w:rsidRPr="005C1E26">
        <w:rPr>
          <w:b/>
          <w:i/>
          <w:szCs w:val="20"/>
        </w:rPr>
        <w:t xml:space="preserve"> that are QCL</w:t>
      </w:r>
    </w:p>
    <w:p w14:paraId="43539ADB" w14:textId="3874D53E" w:rsidR="004E5BC2" w:rsidRDefault="004E5BC2" w:rsidP="004E7BD6">
      <w:pPr>
        <w:pStyle w:val="Heading1"/>
        <w:keepNext w:val="0"/>
        <w:widowControl w:val="0"/>
        <w:spacing w:before="480" w:after="240"/>
        <w:ind w:left="518" w:hanging="518"/>
        <w:rPr>
          <w:rFonts w:eastAsia="Times New Roman"/>
        </w:rPr>
      </w:pPr>
      <w:bookmarkStart w:id="3" w:name="_Ref20346968"/>
      <w:r w:rsidRPr="00DC3C33">
        <w:rPr>
          <w:rFonts w:eastAsia="Times New Roman"/>
          <w:i/>
        </w:rPr>
        <w:t>ssb-PositionsInBurst</w:t>
      </w:r>
      <w:r>
        <w:rPr>
          <w:rFonts w:eastAsia="Times New Roman"/>
        </w:rPr>
        <w:t xml:space="preserve"> functions</w:t>
      </w:r>
      <w:bookmarkEnd w:id="3"/>
    </w:p>
    <w:p w14:paraId="5BB70D48" w14:textId="5C8FDC3A" w:rsidR="006112B8" w:rsidRDefault="00DC3C33" w:rsidP="004E5BC2">
      <w:pPr>
        <w:rPr>
          <w:iCs/>
          <w:szCs w:val="20"/>
        </w:rPr>
      </w:pPr>
      <w:r>
        <w:lastRenderedPageBreak/>
        <w:t xml:space="preserve">The actual transmitted SSBs are indicated using </w:t>
      </w:r>
      <w:r w:rsidR="004E5BC2">
        <w:rPr>
          <w:i/>
          <w:iCs/>
          <w:szCs w:val="20"/>
        </w:rPr>
        <w:t>ssb-PositionsInBurst</w:t>
      </w:r>
      <w:r w:rsidR="004E5BC2">
        <w:rPr>
          <w:iCs/>
          <w:szCs w:val="20"/>
        </w:rPr>
        <w:t xml:space="preserve"> bitmap. </w:t>
      </w:r>
      <w:r>
        <w:rPr>
          <w:iCs/>
          <w:szCs w:val="20"/>
        </w:rPr>
        <w:t>A</w:t>
      </w:r>
      <w:r w:rsidR="004E5BC2">
        <w:rPr>
          <w:iCs/>
          <w:szCs w:val="20"/>
        </w:rPr>
        <w:t xml:space="preserve"> UE should expect</w:t>
      </w:r>
      <w:r>
        <w:rPr>
          <w:iCs/>
          <w:szCs w:val="20"/>
        </w:rPr>
        <w:t xml:space="preserve"> (or assume)</w:t>
      </w:r>
      <w:r w:rsidR="004E5BC2">
        <w:rPr>
          <w:iCs/>
          <w:szCs w:val="20"/>
        </w:rPr>
        <w:t xml:space="preserve"> that the bit po</w:t>
      </w:r>
      <w:r>
        <w:rPr>
          <w:iCs/>
          <w:szCs w:val="20"/>
        </w:rPr>
        <w:t>siti</w:t>
      </w:r>
      <w:r w:rsidR="006112B8">
        <w:rPr>
          <w:iCs/>
          <w:szCs w:val="20"/>
        </w:rPr>
        <w:t>ons beyond Q is set to zero as shown below:</w:t>
      </w:r>
    </w:p>
    <w:p w14:paraId="032FC529" w14:textId="77777777" w:rsidR="006112B8" w:rsidRDefault="006112B8" w:rsidP="006112B8">
      <w:pPr>
        <w:keepNext/>
        <w:jc w:val="center"/>
      </w:pPr>
      <w:r w:rsidRPr="001D59AB">
        <w:rPr>
          <w:noProof/>
          <w:lang w:val="en-US" w:eastAsia="ko-KR"/>
        </w:rPr>
        <w:drawing>
          <wp:inline distT="0" distB="0" distL="0" distR="0" wp14:anchorId="31E1044E" wp14:editId="206EFA95">
            <wp:extent cx="1280160" cy="67665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80160" cy="676656"/>
                    </a:xfrm>
                    <a:prstGeom prst="rect">
                      <a:avLst/>
                    </a:prstGeom>
                  </pic:spPr>
                </pic:pic>
              </a:graphicData>
            </a:graphic>
          </wp:inline>
        </w:drawing>
      </w:r>
    </w:p>
    <w:p w14:paraId="538363CF" w14:textId="60B14E8C" w:rsidR="006112B8" w:rsidRPr="002B658E" w:rsidRDefault="006112B8" w:rsidP="006112B8">
      <w:pPr>
        <w:pStyle w:val="Caption"/>
        <w:jc w:val="center"/>
      </w:pPr>
      <w:r>
        <w:t xml:space="preserve">Figure </w:t>
      </w:r>
      <w:r>
        <w:fldChar w:fldCharType="begin"/>
      </w:r>
      <w:r>
        <w:instrText xml:space="preserve"> SEQ Figure \* ARABIC </w:instrText>
      </w:r>
      <w:r>
        <w:fldChar w:fldCharType="separate"/>
      </w:r>
      <w:r w:rsidR="00850659">
        <w:rPr>
          <w:noProof/>
        </w:rPr>
        <w:t>3</w:t>
      </w:r>
      <w:r>
        <w:fldChar w:fldCharType="end"/>
      </w:r>
      <w:r>
        <w:t xml:space="preserve">: </w:t>
      </w:r>
      <w:r>
        <w:rPr>
          <w:i/>
          <w:iCs/>
          <w:szCs w:val="20"/>
        </w:rPr>
        <w:t>ssb-PositionsInBurst</w:t>
      </w:r>
      <w:r>
        <w:rPr>
          <w:iCs/>
          <w:szCs w:val="20"/>
        </w:rPr>
        <w:t xml:space="preserve"> interpretation with Q=4</w:t>
      </w:r>
    </w:p>
    <w:p w14:paraId="431B8DEE" w14:textId="77777777" w:rsidR="004E5BC2" w:rsidRPr="0052442F" w:rsidRDefault="004E5BC2" w:rsidP="004E5BC2">
      <w:pPr>
        <w:rPr>
          <w:i/>
          <w:u w:val="single"/>
        </w:rPr>
      </w:pPr>
      <w:r w:rsidRPr="0052442F">
        <w:rPr>
          <w:i/>
          <w:u w:val="single"/>
        </w:rPr>
        <w:t>PDSCH rate matching</w:t>
      </w:r>
    </w:p>
    <w:p w14:paraId="69AC28E9" w14:textId="2753D019" w:rsidR="004E5BC2" w:rsidRDefault="004E5BC2" w:rsidP="004E5BC2">
      <w:r>
        <w:t xml:space="preserve">In Rel-15, each bit in </w:t>
      </w:r>
      <w:r>
        <w:rPr>
          <w:i/>
          <w:iCs/>
          <w:szCs w:val="20"/>
        </w:rPr>
        <w:t>ssb-PositionsInBurst</w:t>
      </w:r>
      <w:r>
        <w:rPr>
          <w:iCs/>
          <w:szCs w:val="20"/>
        </w:rPr>
        <w:t xml:space="preserve"> represents an </w:t>
      </w:r>
      <w:r>
        <w:t xml:space="preserve">SS/PBCH block index and a bit set to 1 is </w:t>
      </w:r>
      <w:r>
        <w:rPr>
          <w:iCs/>
          <w:szCs w:val="20"/>
        </w:rPr>
        <w:t xml:space="preserve">used for PDSCH rate-matching with respect to the </w:t>
      </w:r>
      <w:r>
        <w:t>corresponding SS/PBCH block index (</w:t>
      </w:r>
      <w:r>
        <w:rPr>
          <w:iCs/>
          <w:szCs w:val="20"/>
        </w:rPr>
        <w:t xml:space="preserve">except for SIB1). In NR-U, depending on the value of Q, multiple SS/PBCH block indices are QCL and it is natural to consider a bit in </w:t>
      </w:r>
      <w:r>
        <w:rPr>
          <w:i/>
          <w:iCs/>
          <w:szCs w:val="20"/>
        </w:rPr>
        <w:t>ssb-PositionsInBurst</w:t>
      </w:r>
      <w:r>
        <w:rPr>
          <w:iCs/>
          <w:szCs w:val="20"/>
        </w:rPr>
        <w:t xml:space="preserve"> to represent a </w:t>
      </w:r>
      <w:r>
        <w:t>SS/PBCH block set that is QCL. This allows a UE to perform PDSCH rate-matching with respect to a corresponding SS/PBCH block set.</w:t>
      </w:r>
      <w:r w:rsidR="006112B8" w:rsidRPr="006112B8">
        <w:t xml:space="preserve"> </w:t>
      </w:r>
      <w:r w:rsidR="006112B8">
        <w:t xml:space="preserve">As an example if Q=8, the first bit in </w:t>
      </w:r>
      <w:r w:rsidR="006112B8">
        <w:rPr>
          <w:i/>
          <w:iCs/>
          <w:szCs w:val="20"/>
        </w:rPr>
        <w:t>ssb-PositionsInBurst</w:t>
      </w:r>
      <w:r w:rsidR="006112B8">
        <w:rPr>
          <w:iCs/>
          <w:szCs w:val="20"/>
        </w:rPr>
        <w:t xml:space="preserve"> represents SSB index = 0; </w:t>
      </w:r>
      <w:r w:rsidR="006112B8">
        <w:t xml:space="preserve">if Q=4 the first bit in </w:t>
      </w:r>
      <w:r w:rsidR="006112B8">
        <w:rPr>
          <w:i/>
          <w:iCs/>
          <w:szCs w:val="20"/>
        </w:rPr>
        <w:t>ssb-PositionsInBurst</w:t>
      </w:r>
      <w:r w:rsidR="006112B8">
        <w:rPr>
          <w:iCs/>
          <w:szCs w:val="20"/>
        </w:rPr>
        <w:t xml:space="preserve"> represents SSB indices = 0, 4; </w:t>
      </w:r>
      <w:r w:rsidR="006112B8">
        <w:t xml:space="preserve">if Q=2 the first bit in </w:t>
      </w:r>
      <w:r w:rsidR="006112B8">
        <w:rPr>
          <w:i/>
          <w:iCs/>
          <w:szCs w:val="20"/>
        </w:rPr>
        <w:t>ssb-PositionsInBurst</w:t>
      </w:r>
      <w:r w:rsidR="006112B8">
        <w:rPr>
          <w:iCs/>
          <w:szCs w:val="20"/>
        </w:rPr>
        <w:t xml:space="preserve"> represents SSB indices = 0, 2, 4, 6; </w:t>
      </w:r>
      <w:r w:rsidR="006112B8">
        <w:t xml:space="preserve">if Q=1 the first bit in </w:t>
      </w:r>
      <w:r w:rsidR="006112B8">
        <w:rPr>
          <w:i/>
          <w:iCs/>
          <w:szCs w:val="20"/>
        </w:rPr>
        <w:t>ssb-PositionsInBurst</w:t>
      </w:r>
      <w:r w:rsidR="006112B8">
        <w:rPr>
          <w:iCs/>
          <w:szCs w:val="20"/>
        </w:rPr>
        <w:t xml:space="preserve"> represents SSB indices = 0, 1, 2, 3, 4, 5, 6, 7.</w:t>
      </w:r>
    </w:p>
    <w:p w14:paraId="55631E0E" w14:textId="77777777" w:rsidR="006112B8" w:rsidRDefault="006112B8" w:rsidP="004E5BC2"/>
    <w:p w14:paraId="0CAA60F1" w14:textId="77777777" w:rsidR="004E5BC2" w:rsidRDefault="004E5BC2" w:rsidP="004E5BC2">
      <w:pPr>
        <w:rPr>
          <w:i/>
          <w:u w:val="single"/>
        </w:rPr>
      </w:pPr>
      <w:r w:rsidRPr="00EB51EF">
        <w:rPr>
          <w:i/>
          <w:u w:val="single"/>
        </w:rPr>
        <w:t>SSB to PRACH mapping</w:t>
      </w:r>
    </w:p>
    <w:p w14:paraId="7F55BF69" w14:textId="77777777" w:rsidR="004E5BC2" w:rsidRPr="00942B5A" w:rsidRDefault="004E5BC2" w:rsidP="004E5BC2">
      <w:pPr>
        <w:rPr>
          <w:szCs w:val="20"/>
        </w:rPr>
      </w:pPr>
      <w:r>
        <w:t xml:space="preserve">In Rel-15, </w:t>
      </w:r>
      <w:r>
        <w:rPr>
          <w:szCs w:val="20"/>
        </w:rPr>
        <w:t xml:space="preserve">SS/PBCH block indexes provided by </w:t>
      </w:r>
      <w:r>
        <w:rPr>
          <w:i/>
          <w:iCs/>
          <w:szCs w:val="20"/>
        </w:rPr>
        <w:t xml:space="preserve">ssb-PositionsInBurst </w:t>
      </w:r>
      <w:r>
        <w:rPr>
          <w:szCs w:val="20"/>
        </w:rPr>
        <w:t xml:space="preserve">are mapped to valid PRACH occasions based on first preamble indices, then frequency indices of PRACH occasions, then time resource indices within a slot and then increasing order of slots. Following the same principles, one or more SS/PBCH block sets should be provided by </w:t>
      </w:r>
      <w:r>
        <w:rPr>
          <w:i/>
          <w:iCs/>
          <w:szCs w:val="20"/>
        </w:rPr>
        <w:t>ssb-PositionsInBurst</w:t>
      </w:r>
      <w:r>
        <w:rPr>
          <w:iCs/>
          <w:szCs w:val="20"/>
        </w:rPr>
        <w:t xml:space="preserve"> and a SS/PBCH block set can be mappe</w:t>
      </w:r>
      <w:bookmarkStart w:id="4" w:name="_GoBack"/>
      <w:bookmarkEnd w:id="4"/>
      <w:r>
        <w:rPr>
          <w:iCs/>
          <w:szCs w:val="20"/>
        </w:rPr>
        <w:t xml:space="preserve">d to </w:t>
      </w:r>
      <w:r>
        <w:rPr>
          <w:szCs w:val="20"/>
        </w:rPr>
        <w:t>valid PRACH occasions based on Rel-15 rules.</w:t>
      </w:r>
    </w:p>
    <w:p w14:paraId="179D1263" w14:textId="77777777" w:rsidR="004E5BC2" w:rsidRDefault="004E5BC2" w:rsidP="004E5BC2"/>
    <w:p w14:paraId="7FD72186" w14:textId="77777777" w:rsidR="004E5BC2" w:rsidRDefault="004E5BC2" w:rsidP="004E5BC2">
      <w:r>
        <w:t>In Rel-15, as part of SSB to RACH mapping, we have the following:</w:t>
      </w:r>
    </w:p>
    <w:p w14:paraId="7B2E0F68" w14:textId="77777777" w:rsidR="004E5BC2" w:rsidRDefault="004E5BC2" w:rsidP="004E5BC2">
      <w:pPr>
        <w:pStyle w:val="ListParagraph"/>
        <w:numPr>
          <w:ilvl w:val="0"/>
          <w:numId w:val="20"/>
        </w:numPr>
      </w:pPr>
      <w:r>
        <w:t xml:space="preserve">a number </w:t>
      </w:r>
      <w:r w:rsidRPr="00E40001">
        <w:rPr>
          <w:i/>
        </w:rPr>
        <w:t>N</w:t>
      </w:r>
      <w:r>
        <w:t xml:space="preserve"> of SS/PBCH blocks is associated with a PRACH occasion. If </w:t>
      </w:r>
      <w:r w:rsidRPr="00E40001">
        <w:rPr>
          <w:i/>
        </w:rPr>
        <w:t>N</w:t>
      </w:r>
      <w:r>
        <w:t xml:space="preserve"> &lt; 1, one SS/PBCH block is mapped to 1/</w:t>
      </w:r>
      <w:r w:rsidRPr="00E40001">
        <w:rPr>
          <w:i/>
        </w:rPr>
        <w:t>N</w:t>
      </w:r>
      <w:r>
        <w:t xml:space="preserve"> consecutive valid PRACH occasions. </w:t>
      </w:r>
    </w:p>
    <w:p w14:paraId="31120131" w14:textId="77777777" w:rsidR="004E5BC2" w:rsidRPr="00396282" w:rsidRDefault="004E5BC2" w:rsidP="004E5BC2">
      <w:pPr>
        <w:pStyle w:val="ListParagraph"/>
        <w:numPr>
          <w:ilvl w:val="0"/>
          <w:numId w:val="20"/>
        </w:numPr>
      </w:pPr>
      <w:r>
        <w:rPr>
          <w:szCs w:val="20"/>
        </w:rPr>
        <w:t xml:space="preserve">a number </w:t>
      </w:r>
      <w:r w:rsidRPr="00E40001">
        <w:rPr>
          <w:i/>
          <w:szCs w:val="20"/>
        </w:rPr>
        <w:t>R</w:t>
      </w:r>
      <w:r>
        <w:rPr>
          <w:szCs w:val="20"/>
        </w:rPr>
        <w:t xml:space="preserve"> of contention based preambles per SS/PBCH block per valid PRACH occasion</w:t>
      </w:r>
    </w:p>
    <w:p w14:paraId="1AC48ABF" w14:textId="77777777" w:rsidR="004E5BC2" w:rsidRPr="00845B04" w:rsidRDefault="004E5BC2" w:rsidP="004E5BC2">
      <w:pPr>
        <w:pStyle w:val="ListParagraph"/>
        <w:numPr>
          <w:ilvl w:val="0"/>
          <w:numId w:val="20"/>
        </w:numPr>
      </w:pPr>
      <w:r>
        <w:rPr>
          <w:szCs w:val="20"/>
        </w:rPr>
        <w:t>a mapping of preamble indices to SS/PBCH block indices</w:t>
      </w:r>
    </w:p>
    <w:p w14:paraId="010B81FB" w14:textId="77777777" w:rsidR="004E5BC2" w:rsidRDefault="004E5BC2" w:rsidP="004E5BC2">
      <w:r>
        <w:t>In NR-U, based on the value of Q, a set of SS/PBCH block indices are QCL. As a consequence, a QCL-ed SS/PBCH block set should be considered for SSB to RACH mapping. Specifically</w:t>
      </w:r>
    </w:p>
    <w:p w14:paraId="31861D54" w14:textId="77777777" w:rsidR="004E5BC2" w:rsidRDefault="004E5BC2" w:rsidP="004E5BC2">
      <w:pPr>
        <w:pStyle w:val="ListParagraph"/>
        <w:numPr>
          <w:ilvl w:val="0"/>
          <w:numId w:val="20"/>
        </w:numPr>
      </w:pPr>
      <w:r>
        <w:t xml:space="preserve">a number </w:t>
      </w:r>
      <w:r w:rsidRPr="00E40001">
        <w:rPr>
          <w:i/>
        </w:rPr>
        <w:t>N</w:t>
      </w:r>
      <w:r>
        <w:t xml:space="preserve"> of SS/PBCH block sets should be associated with a PRACH occasion. If </w:t>
      </w:r>
      <w:r w:rsidRPr="00E40001">
        <w:rPr>
          <w:i/>
        </w:rPr>
        <w:t>N</w:t>
      </w:r>
      <w:r>
        <w:t xml:space="preserve"> &lt; 1, one SS/PBCH block set should be mapped to 1/</w:t>
      </w:r>
      <w:r w:rsidRPr="00E40001">
        <w:rPr>
          <w:i/>
        </w:rPr>
        <w:t>N</w:t>
      </w:r>
      <w:r>
        <w:t xml:space="preserve"> consecutive valid PRACH occasions. </w:t>
      </w:r>
    </w:p>
    <w:p w14:paraId="011FDA44" w14:textId="77777777" w:rsidR="004E5BC2" w:rsidRPr="00396282" w:rsidRDefault="004E5BC2" w:rsidP="004E5BC2">
      <w:pPr>
        <w:pStyle w:val="ListParagraph"/>
        <w:numPr>
          <w:ilvl w:val="0"/>
          <w:numId w:val="20"/>
        </w:numPr>
      </w:pPr>
      <w:r>
        <w:rPr>
          <w:szCs w:val="20"/>
        </w:rPr>
        <w:t xml:space="preserve">a number </w:t>
      </w:r>
      <w:r w:rsidRPr="00E40001">
        <w:rPr>
          <w:i/>
          <w:szCs w:val="20"/>
        </w:rPr>
        <w:t>R</w:t>
      </w:r>
      <w:r>
        <w:rPr>
          <w:szCs w:val="20"/>
        </w:rPr>
        <w:t xml:space="preserve"> of contention based preambles per SS/PBCH block set per valid PRACH occasion</w:t>
      </w:r>
    </w:p>
    <w:p w14:paraId="3E050AE7" w14:textId="77777777" w:rsidR="004E5BC2" w:rsidRPr="00D25A40" w:rsidRDefault="004E5BC2" w:rsidP="004E5BC2">
      <w:pPr>
        <w:pStyle w:val="ListParagraph"/>
        <w:numPr>
          <w:ilvl w:val="0"/>
          <w:numId w:val="20"/>
        </w:numPr>
      </w:pPr>
      <w:r>
        <w:rPr>
          <w:szCs w:val="20"/>
        </w:rPr>
        <w:t>a mapping of preamble indices to SS/PBCH block sets</w:t>
      </w:r>
    </w:p>
    <w:p w14:paraId="628017D9" w14:textId="77777777" w:rsidR="004E5BC2" w:rsidRDefault="004E5BC2" w:rsidP="004E5BC2">
      <w:r>
        <w:t>where a SS/PBCH block set comprises of a set of SS/PBCH block indices that are QCL (based on Q value).</w:t>
      </w:r>
    </w:p>
    <w:p w14:paraId="671FB7F2" w14:textId="77777777" w:rsidR="004E5BC2" w:rsidRDefault="004E5BC2" w:rsidP="004E5BC2">
      <w:pPr>
        <w:rPr>
          <w:iCs/>
          <w:szCs w:val="20"/>
        </w:rPr>
      </w:pPr>
      <w:r>
        <w:t xml:space="preserve">Another related aspect of mapping SS/PBCH block indices to PRACH occasions based on </w:t>
      </w:r>
      <w:r>
        <w:rPr>
          <w:i/>
          <w:iCs/>
          <w:szCs w:val="20"/>
        </w:rPr>
        <w:t>ssb-PositionsInBurst</w:t>
      </w:r>
      <w:r>
        <w:rPr>
          <w:iCs/>
          <w:szCs w:val="20"/>
        </w:rPr>
        <w:t xml:space="preserve"> is addressed in section </w:t>
      </w:r>
      <w:r>
        <w:rPr>
          <w:iCs/>
          <w:szCs w:val="20"/>
        </w:rPr>
        <w:fldChar w:fldCharType="begin"/>
      </w:r>
      <w:r>
        <w:rPr>
          <w:iCs/>
          <w:szCs w:val="20"/>
        </w:rPr>
        <w:instrText xml:space="preserve"> REF _Ref20346968 \n \h </w:instrText>
      </w:r>
      <w:r>
        <w:rPr>
          <w:iCs/>
          <w:szCs w:val="20"/>
        </w:rPr>
      </w:r>
      <w:r>
        <w:rPr>
          <w:iCs/>
          <w:szCs w:val="20"/>
        </w:rPr>
        <w:fldChar w:fldCharType="separate"/>
      </w:r>
      <w:r>
        <w:rPr>
          <w:iCs/>
          <w:szCs w:val="20"/>
        </w:rPr>
        <w:t>6</w:t>
      </w:r>
      <w:r>
        <w:rPr>
          <w:iCs/>
          <w:szCs w:val="20"/>
        </w:rPr>
        <w:fldChar w:fldCharType="end"/>
      </w:r>
      <w:r>
        <w:rPr>
          <w:iCs/>
          <w:szCs w:val="20"/>
        </w:rPr>
        <w:t>.</w:t>
      </w:r>
    </w:p>
    <w:p w14:paraId="34D1CD70" w14:textId="73CFCB47" w:rsidR="004E5BC2" w:rsidRDefault="004E5BC2" w:rsidP="004E5BC2">
      <w:pPr>
        <w:rPr>
          <w:iCs/>
          <w:szCs w:val="20"/>
        </w:rPr>
      </w:pPr>
      <w:r w:rsidRPr="006112B8">
        <w:rPr>
          <w:iCs/>
          <w:szCs w:val="20"/>
        </w:rPr>
        <w:t xml:space="preserve">Just for readability </w:t>
      </w:r>
      <w:r w:rsidR="006112B8" w:rsidRPr="006112B8">
        <w:rPr>
          <w:iCs/>
          <w:szCs w:val="20"/>
        </w:rPr>
        <w:t xml:space="preserve">purposes </w:t>
      </w:r>
      <w:r w:rsidRPr="006112B8">
        <w:rPr>
          <w:iCs/>
          <w:szCs w:val="20"/>
        </w:rPr>
        <w:t xml:space="preserve">in 38.213/38.214, it may be reasonable to </w:t>
      </w:r>
      <w:r w:rsidR="006112B8" w:rsidRPr="006112B8">
        <w:rPr>
          <w:iCs/>
          <w:szCs w:val="20"/>
        </w:rPr>
        <w:t xml:space="preserve">define a </w:t>
      </w:r>
      <w:r w:rsidR="006112B8" w:rsidRPr="006112B8">
        <w:t xml:space="preserve">SS/PBCH block set index given by </w:t>
      </w:r>
      <w:r w:rsidR="006112B8" w:rsidRPr="006112B8">
        <w:rPr>
          <w:iCs/>
          <w:szCs w:val="20"/>
        </w:rPr>
        <w:t xml:space="preserve">mod(A,Q) associated with SS/PBCH block index A or PBCH DMRS sequence index A. </w:t>
      </w:r>
      <w:r w:rsidRPr="006112B8">
        <w:rPr>
          <w:iCs/>
          <w:szCs w:val="20"/>
        </w:rPr>
        <w:t xml:space="preserve">This way, the changes related to </w:t>
      </w:r>
      <w:r w:rsidR="006112B8" w:rsidRPr="006112B8">
        <w:rPr>
          <w:iCs/>
          <w:szCs w:val="20"/>
        </w:rPr>
        <w:t xml:space="preserve">the above </w:t>
      </w:r>
      <w:r w:rsidRPr="006112B8">
        <w:rPr>
          <w:iCs/>
          <w:szCs w:val="20"/>
        </w:rPr>
        <w:t xml:space="preserve">sections could be implemented by simply replacing SS/PBCH block or SS/PBCH block index in L1 specifications with SS/PBCH block </w:t>
      </w:r>
      <w:r w:rsidR="006112B8" w:rsidRPr="006112B8">
        <w:rPr>
          <w:iCs/>
          <w:szCs w:val="20"/>
        </w:rPr>
        <w:t>set index</w:t>
      </w:r>
      <w:r w:rsidRPr="006112B8">
        <w:rPr>
          <w:iCs/>
          <w:szCs w:val="20"/>
        </w:rPr>
        <w:t>.</w:t>
      </w:r>
    </w:p>
    <w:p w14:paraId="7525862F" w14:textId="367EC48E" w:rsidR="004E5BC2" w:rsidRPr="004E5BC2" w:rsidRDefault="004E5BC2" w:rsidP="004E5BC2">
      <w:r w:rsidRPr="005C1E26">
        <w:rPr>
          <w:b/>
          <w:i/>
          <w:szCs w:val="20"/>
        </w:rPr>
        <w:t>Proposal</w:t>
      </w:r>
      <w:r w:rsidR="009605BD">
        <w:rPr>
          <w:b/>
          <w:i/>
          <w:szCs w:val="20"/>
        </w:rPr>
        <w:t>-3</w:t>
      </w:r>
      <w:r w:rsidRPr="005C1E26">
        <w:rPr>
          <w:b/>
          <w:i/>
          <w:szCs w:val="20"/>
        </w:rPr>
        <w:t xml:space="preserve">: </w:t>
      </w:r>
      <w:r w:rsidR="006112B8">
        <w:rPr>
          <w:b/>
          <w:i/>
          <w:szCs w:val="20"/>
        </w:rPr>
        <w:t>A</w:t>
      </w:r>
      <w:r w:rsidRPr="005C1E26">
        <w:rPr>
          <w:b/>
          <w:i/>
          <w:szCs w:val="20"/>
        </w:rPr>
        <w:t xml:space="preserve"> bit position in </w:t>
      </w:r>
      <w:r w:rsidRPr="005C1E26">
        <w:rPr>
          <w:b/>
          <w:i/>
          <w:iCs/>
          <w:szCs w:val="20"/>
        </w:rPr>
        <w:t xml:space="preserve">ssb-PositionsInBurst </w:t>
      </w:r>
      <w:r w:rsidR="006112B8">
        <w:rPr>
          <w:b/>
          <w:i/>
          <w:iCs/>
          <w:szCs w:val="20"/>
        </w:rPr>
        <w:t>should</w:t>
      </w:r>
      <w:r w:rsidRPr="005C1E26">
        <w:rPr>
          <w:b/>
          <w:i/>
          <w:iCs/>
          <w:szCs w:val="20"/>
        </w:rPr>
        <w:t xml:space="preserve"> </w:t>
      </w:r>
      <w:r>
        <w:rPr>
          <w:b/>
          <w:i/>
          <w:iCs/>
          <w:szCs w:val="20"/>
        </w:rPr>
        <w:t>indicate</w:t>
      </w:r>
      <w:r w:rsidRPr="005C1E26">
        <w:rPr>
          <w:b/>
          <w:i/>
          <w:iCs/>
          <w:szCs w:val="20"/>
        </w:rPr>
        <w:t xml:space="preserve"> a </w:t>
      </w:r>
      <w:r>
        <w:rPr>
          <w:b/>
          <w:i/>
          <w:iCs/>
          <w:szCs w:val="20"/>
        </w:rPr>
        <w:t>set of SS/PBCH block indices</w:t>
      </w:r>
      <w:r w:rsidRPr="005C1E26">
        <w:rPr>
          <w:b/>
          <w:i/>
          <w:iCs/>
          <w:szCs w:val="20"/>
        </w:rPr>
        <w:t xml:space="preserve"> that are QCL</w:t>
      </w:r>
      <w:r>
        <w:rPr>
          <w:b/>
          <w:i/>
          <w:iCs/>
          <w:szCs w:val="20"/>
        </w:rPr>
        <w:t>. This new interpretation affects PDSCH rate-matching and mapping of SSB indices to PRACH occasions.</w:t>
      </w:r>
    </w:p>
    <w:p w14:paraId="27FBBEA2" w14:textId="3E20C410" w:rsidR="004E5BC2" w:rsidRDefault="004E5BC2" w:rsidP="004E7BD6">
      <w:pPr>
        <w:pStyle w:val="Heading1"/>
        <w:keepNext w:val="0"/>
        <w:widowControl w:val="0"/>
        <w:spacing w:before="480" w:after="240"/>
        <w:ind w:left="518" w:hanging="518"/>
        <w:rPr>
          <w:rFonts w:eastAsia="Times New Roman"/>
        </w:rPr>
      </w:pPr>
      <w:r>
        <w:rPr>
          <w:rFonts w:eastAsia="Times New Roman"/>
        </w:rPr>
        <w:t>RSSI and CO</w:t>
      </w:r>
    </w:p>
    <w:p w14:paraId="246A7EE6" w14:textId="6A9C0557" w:rsidR="00CB0450" w:rsidRDefault="004E5BC2" w:rsidP="004E5BC2">
      <w:r>
        <w:t xml:space="preserve">The same framework as in LTE can be utilized for RSSI and CO reporting. </w:t>
      </w:r>
      <w:r w:rsidR="00850659">
        <w:t>The main concepts are illustrated below where a measurement duration, slot offset and a measurement period is configured</w:t>
      </w:r>
      <w:r w:rsidR="00CB0450">
        <w:t xml:space="preserve"> (RMTC)</w:t>
      </w:r>
      <w:r w:rsidR="00850659">
        <w:t xml:space="preserve"> along with a CO threshold. </w:t>
      </w:r>
      <w:r w:rsidR="00A06BFE">
        <w:t xml:space="preserve">A reported </w:t>
      </w:r>
      <w:r w:rsidR="00A06BFE">
        <w:lastRenderedPageBreak/>
        <w:t>RSSI is defined as an average of the measured sample values and reported CO is defined as a percentage of the measured sample values beyond CO threshold</w:t>
      </w:r>
      <w:r w:rsidR="006017B0">
        <w:t xml:space="preserve"> (samples within a </w:t>
      </w:r>
      <w:r w:rsidR="006017B0">
        <w:rPr>
          <w:i/>
          <w:iCs/>
          <w:szCs w:val="20"/>
        </w:rPr>
        <w:t>reportInterval</w:t>
      </w:r>
      <w:r w:rsidR="006017B0">
        <w:t>)</w:t>
      </w:r>
      <w:r w:rsidR="00A06BFE">
        <w:t xml:space="preserve">. </w:t>
      </w:r>
      <w:r w:rsidR="00850659">
        <w:t>We thin</w:t>
      </w:r>
      <w:r w:rsidR="00A06BFE">
        <w:t xml:space="preserve">k this framework can be re-used directly </w:t>
      </w:r>
      <w:r w:rsidR="00850659">
        <w:t xml:space="preserve">and </w:t>
      </w:r>
      <w:r w:rsidR="00A06BFE">
        <w:t xml:space="preserve">additionally </w:t>
      </w:r>
      <w:r w:rsidR="00850659">
        <w:t xml:space="preserve">an association to LBT sub-band configuration </w:t>
      </w:r>
      <w:r w:rsidR="00CB0450">
        <w:t xml:space="preserve">would be beneficial to measure and report RSSI/CO on a per sub-band basis. </w:t>
      </w:r>
    </w:p>
    <w:p w14:paraId="7A87AA36" w14:textId="39C96065" w:rsidR="00850659" w:rsidRDefault="00464974" w:rsidP="00850659">
      <w:pPr>
        <w:keepNext/>
        <w:jc w:val="center"/>
      </w:pPr>
      <w:r>
        <w:rPr>
          <w:noProof/>
          <w:lang w:val="en-US" w:eastAsia="ko-KR"/>
        </w:rPr>
        <w:drawing>
          <wp:inline distT="0" distB="0" distL="0" distR="0" wp14:anchorId="7D83D795" wp14:editId="063E8B87">
            <wp:extent cx="6304915" cy="256095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04915" cy="2560955"/>
                    </a:xfrm>
                    <a:prstGeom prst="rect">
                      <a:avLst/>
                    </a:prstGeom>
                  </pic:spPr>
                </pic:pic>
              </a:graphicData>
            </a:graphic>
          </wp:inline>
        </w:drawing>
      </w:r>
    </w:p>
    <w:p w14:paraId="399CC915" w14:textId="36B001B5" w:rsidR="00850659" w:rsidRDefault="00850659" w:rsidP="00850659">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RSSI and CO reporting framework from LTE</w:t>
      </w:r>
    </w:p>
    <w:p w14:paraId="3945B76A" w14:textId="77777777" w:rsidR="004E5BC2" w:rsidRDefault="004E5BC2" w:rsidP="004E5BC2"/>
    <w:p w14:paraId="3D6DF36F" w14:textId="3935792E" w:rsidR="004E5BC2" w:rsidRPr="004E5BC2" w:rsidRDefault="004E5BC2" w:rsidP="004E5BC2">
      <w:r w:rsidRPr="005C1E26">
        <w:rPr>
          <w:b/>
          <w:i/>
          <w:szCs w:val="20"/>
        </w:rPr>
        <w:t>Proposal</w:t>
      </w:r>
      <w:r w:rsidR="009605BD">
        <w:rPr>
          <w:b/>
          <w:i/>
          <w:szCs w:val="20"/>
        </w:rPr>
        <w:t>-4</w:t>
      </w:r>
      <w:r w:rsidRPr="005C1E26">
        <w:rPr>
          <w:b/>
          <w:i/>
          <w:szCs w:val="20"/>
        </w:rPr>
        <w:t xml:space="preserve">: </w:t>
      </w:r>
      <w:r w:rsidR="00FD25B1">
        <w:rPr>
          <w:b/>
          <w:i/>
          <w:szCs w:val="20"/>
        </w:rPr>
        <w:t>Specify</w:t>
      </w:r>
      <w:r>
        <w:rPr>
          <w:b/>
          <w:i/>
          <w:szCs w:val="20"/>
        </w:rPr>
        <w:t xml:space="preserve"> CO threshold and RMTC configuration for NR (similar to LTE) along with LBT sub-band configuration</w:t>
      </w:r>
      <w:r w:rsidR="00CB0450">
        <w:rPr>
          <w:b/>
          <w:i/>
          <w:szCs w:val="20"/>
        </w:rPr>
        <w:t xml:space="preserve"> to enable RSSI and CO reporting per sub-band</w:t>
      </w:r>
    </w:p>
    <w:p w14:paraId="6853D917" w14:textId="1931A934" w:rsidR="004E5BC2" w:rsidRDefault="004E5BC2" w:rsidP="004E7BD6">
      <w:pPr>
        <w:pStyle w:val="Heading1"/>
        <w:keepNext w:val="0"/>
        <w:widowControl w:val="0"/>
        <w:spacing w:before="480" w:after="240"/>
        <w:ind w:left="518" w:hanging="518"/>
        <w:rPr>
          <w:rFonts w:eastAsia="Times New Roman"/>
        </w:rPr>
      </w:pPr>
      <w:r>
        <w:rPr>
          <w:rFonts w:eastAsia="Times New Roman"/>
        </w:rPr>
        <w:t>RRM</w:t>
      </w:r>
    </w:p>
    <w:p w14:paraId="2309DE33" w14:textId="532BA07D" w:rsidR="004E5BC2" w:rsidRDefault="004E5BC2" w:rsidP="004E5BC2">
      <w:r>
        <w:t xml:space="preserve">In Rel-15, CSI-RS can be configured for RRM measurements. In order to ensure the same functionality in NR-U it is beneficial to allow CSI-RS configuration and transmission in DRS for RRM measurements. This will allow such CSI-RS transmission with high priority and will also be beneficial for meeting OCB requirements and to guarantee time-continuity of DRS transmission in certain cases. Instead of a periodic configuration in time, it is beneficial to configure the time instances of such a CSI-RS as an offset to an associated SSB. In terms of measurement a UE can measure such CSI-RS using a SMTC window (or something similar) </w:t>
      </w:r>
      <w:r w:rsidR="005031D0">
        <w:t>utilizing SSB for CSI-RS presence detection</w:t>
      </w:r>
      <w:r>
        <w:t xml:space="preserve">. </w:t>
      </w:r>
      <w:r w:rsidR="005031D0">
        <w:t>W</w:t>
      </w:r>
      <w:r>
        <w:t>e have the following proposal:</w:t>
      </w:r>
    </w:p>
    <w:p w14:paraId="73BC4861" w14:textId="001A6F7D" w:rsidR="004E5BC2" w:rsidRPr="004E5BC2" w:rsidRDefault="004E5BC2" w:rsidP="004E5BC2">
      <w:r w:rsidRPr="0015118C">
        <w:rPr>
          <w:b/>
          <w:i/>
        </w:rPr>
        <w:t>Proposal</w:t>
      </w:r>
      <w:r w:rsidR="009605BD">
        <w:rPr>
          <w:b/>
          <w:i/>
        </w:rPr>
        <w:t>-5</w:t>
      </w:r>
      <w:r w:rsidRPr="0015118C">
        <w:rPr>
          <w:b/>
          <w:i/>
        </w:rPr>
        <w:t xml:space="preserve">: </w:t>
      </w:r>
      <w:r w:rsidR="00FD25B1">
        <w:rPr>
          <w:b/>
          <w:i/>
        </w:rPr>
        <w:t>Specify</w:t>
      </w:r>
      <w:r w:rsidRPr="0015118C">
        <w:rPr>
          <w:b/>
          <w:i/>
        </w:rPr>
        <w:t xml:space="preserve"> configuration of </w:t>
      </w:r>
      <w:r>
        <w:rPr>
          <w:b/>
          <w:i/>
        </w:rPr>
        <w:t xml:space="preserve">mobility </w:t>
      </w:r>
      <w:r w:rsidRPr="0015118C">
        <w:rPr>
          <w:b/>
          <w:i/>
        </w:rPr>
        <w:t xml:space="preserve">CSI-RS </w:t>
      </w:r>
      <w:r>
        <w:rPr>
          <w:b/>
          <w:i/>
        </w:rPr>
        <w:t xml:space="preserve">time instances as an offset to an associated SSB for </w:t>
      </w:r>
      <w:r w:rsidRPr="0015118C">
        <w:rPr>
          <w:b/>
          <w:i/>
        </w:rPr>
        <w:t xml:space="preserve">RRM measurements where CSI-RS is </w:t>
      </w:r>
      <w:r w:rsidR="005031D0">
        <w:rPr>
          <w:b/>
          <w:i/>
        </w:rPr>
        <w:t>multiplexed with</w:t>
      </w:r>
      <w:r w:rsidRPr="0015118C">
        <w:rPr>
          <w:b/>
          <w:i/>
        </w:rPr>
        <w:t xml:space="preserve"> DRS transmission.</w:t>
      </w:r>
    </w:p>
    <w:p w14:paraId="3AA34249" w14:textId="0607308D" w:rsidR="004E7BD6" w:rsidRDefault="005E3159" w:rsidP="004E7BD6">
      <w:pPr>
        <w:pStyle w:val="Heading1"/>
        <w:keepNext w:val="0"/>
        <w:widowControl w:val="0"/>
        <w:spacing w:before="480" w:after="240"/>
        <w:ind w:left="518" w:hanging="518"/>
        <w:rPr>
          <w:rFonts w:eastAsia="Times New Roman"/>
        </w:rPr>
      </w:pPr>
      <w:r>
        <w:rPr>
          <w:rFonts w:eastAsia="Times New Roman"/>
        </w:rPr>
        <w:t>RLM</w:t>
      </w:r>
    </w:p>
    <w:p w14:paraId="0EEB64C9" w14:textId="77777777" w:rsidR="004E5BC2" w:rsidRPr="00DB5D0F" w:rsidRDefault="004E5BC2" w:rsidP="004E5BC2">
      <w:r>
        <w:t>The following agreement was made in RAN1#97</w:t>
      </w:r>
    </w:p>
    <w:tbl>
      <w:tblPr>
        <w:tblStyle w:val="TableGrid"/>
        <w:tblW w:w="0" w:type="auto"/>
        <w:tblLook w:val="04A0" w:firstRow="1" w:lastRow="0" w:firstColumn="1" w:lastColumn="0" w:noHBand="0" w:noVBand="1"/>
      </w:tblPr>
      <w:tblGrid>
        <w:gridCol w:w="9919"/>
      </w:tblGrid>
      <w:tr w:rsidR="004E5BC2" w14:paraId="73B27816" w14:textId="77777777" w:rsidTr="00A87220">
        <w:tc>
          <w:tcPr>
            <w:tcW w:w="9919" w:type="dxa"/>
          </w:tcPr>
          <w:p w14:paraId="7786194E" w14:textId="77777777" w:rsidR="004E5BC2" w:rsidRDefault="004E5BC2" w:rsidP="00A87220">
            <w:r w:rsidRPr="005019C6">
              <w:rPr>
                <w:highlight w:val="green"/>
              </w:rPr>
              <w:t>Agreement:</w:t>
            </w:r>
          </w:p>
          <w:p w14:paraId="6E85BE91" w14:textId="77777777" w:rsidR="004E5BC2" w:rsidRDefault="004E5BC2" w:rsidP="00A87220">
            <w:pPr>
              <w:adjustRightInd w:val="0"/>
              <w:snapToGrid w:val="0"/>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1BECBCFC" w14:textId="77777777" w:rsidR="004E5BC2" w:rsidRDefault="004E5BC2" w:rsidP="00A87220">
            <w:pPr>
              <w:numPr>
                <w:ilvl w:val="0"/>
                <w:numId w:val="10"/>
              </w:numPr>
              <w:adjustRightInd w:val="0"/>
              <w:snapToGrid w:val="0"/>
              <w:spacing w:after="0"/>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14:paraId="641AD035" w14:textId="77777777" w:rsidR="004E5BC2" w:rsidRPr="000C6907" w:rsidRDefault="004E5BC2" w:rsidP="00A87220">
            <w:pPr>
              <w:numPr>
                <w:ilvl w:val="0"/>
                <w:numId w:val="10"/>
              </w:numPr>
              <w:adjustRightInd w:val="0"/>
              <w:snapToGrid w:val="0"/>
              <w:spacing w:after="0"/>
              <w:rPr>
                <w:szCs w:val="20"/>
              </w:rPr>
            </w:pPr>
            <w:r>
              <w:rPr>
                <w:szCs w:val="20"/>
              </w:rPr>
              <w:t>FFS: Whether and how DRS transmission window is configured to the UE</w:t>
            </w:r>
          </w:p>
        </w:tc>
      </w:tr>
    </w:tbl>
    <w:p w14:paraId="20B5E758" w14:textId="77777777" w:rsidR="004E5BC2" w:rsidRPr="005E3159" w:rsidRDefault="004E5BC2" w:rsidP="004E5BC2"/>
    <w:p w14:paraId="7D78DE7A" w14:textId="77777777" w:rsidR="004E5BC2" w:rsidRDefault="004E5BC2" w:rsidP="004E5BC2">
      <w:r>
        <w:rPr>
          <w:i/>
          <w:u w:val="single"/>
          <w:lang w:val="en-US"/>
        </w:rPr>
        <w:t>OOS probability is significantly increased due to medium congestion</w:t>
      </w:r>
    </w:p>
    <w:p w14:paraId="20FBE16A" w14:textId="77777777" w:rsidR="004E5BC2" w:rsidRDefault="004E5BC2" w:rsidP="004E5BC2">
      <w:r>
        <w:t>As an example, let us assume that for a particular UE, the probability that link quality is poor is 20%. Let us assume 3 different medium congestion scenarios, with LBT failure probability = 0%, 20% and 80%. Then we have the following situation based on Rel-15 specifications:</w:t>
      </w:r>
    </w:p>
    <w:p w14:paraId="7A0352FB" w14:textId="77777777" w:rsidR="004E5BC2" w:rsidRDefault="004E5BC2" w:rsidP="004E5BC2"/>
    <w:p w14:paraId="6C935F37" w14:textId="77777777" w:rsidR="004E5BC2" w:rsidRPr="0017452A" w:rsidRDefault="004E5BC2" w:rsidP="004E5BC2">
      <w:pPr>
        <w:pStyle w:val="Caption"/>
        <w:keepNext/>
        <w:jc w:val="center"/>
        <w:rPr>
          <w:rFonts w:ascii="Times New Roman" w:hAnsi="Times New Roman"/>
          <w:sz w:val="20"/>
        </w:rPr>
      </w:pPr>
      <w:bookmarkStart w:id="5" w:name="_Ref20213439"/>
      <w:r w:rsidRPr="0017452A">
        <w:rPr>
          <w:rFonts w:ascii="Times New Roman" w:hAnsi="Times New Roman"/>
          <w:sz w:val="20"/>
        </w:rPr>
        <w:lastRenderedPageBreak/>
        <w:t xml:space="preserve">Table </w:t>
      </w:r>
      <w:r w:rsidRPr="0017452A">
        <w:rPr>
          <w:rFonts w:ascii="Times New Roman" w:hAnsi="Times New Roman"/>
          <w:sz w:val="20"/>
        </w:rPr>
        <w:fldChar w:fldCharType="begin"/>
      </w:r>
      <w:r w:rsidRPr="0017452A">
        <w:rPr>
          <w:rFonts w:ascii="Times New Roman" w:hAnsi="Times New Roman"/>
          <w:sz w:val="20"/>
        </w:rPr>
        <w:instrText xml:space="preserve"> SEQ Table \* ARABIC </w:instrText>
      </w:r>
      <w:r w:rsidRPr="0017452A">
        <w:rPr>
          <w:rFonts w:ascii="Times New Roman" w:hAnsi="Times New Roman"/>
          <w:sz w:val="20"/>
        </w:rPr>
        <w:fldChar w:fldCharType="separate"/>
      </w:r>
      <w:r>
        <w:rPr>
          <w:rFonts w:ascii="Times New Roman" w:hAnsi="Times New Roman"/>
          <w:noProof/>
          <w:sz w:val="20"/>
        </w:rPr>
        <w:t>1</w:t>
      </w:r>
      <w:r w:rsidRPr="0017452A">
        <w:rPr>
          <w:rFonts w:ascii="Times New Roman" w:hAnsi="Times New Roman"/>
          <w:sz w:val="20"/>
        </w:rPr>
        <w:fldChar w:fldCharType="end"/>
      </w:r>
      <w:bookmarkEnd w:id="5"/>
      <w:r w:rsidRPr="0017452A">
        <w:rPr>
          <w:rFonts w:ascii="Times New Roman" w:hAnsi="Times New Roman"/>
          <w:sz w:val="20"/>
        </w:rPr>
        <w:t>: Example of probability of detection for various OOS indicators and IS indicator</w:t>
      </w:r>
    </w:p>
    <w:tbl>
      <w:tblPr>
        <w:tblStyle w:val="TableGrid"/>
        <w:tblW w:w="0" w:type="auto"/>
        <w:jc w:val="center"/>
        <w:tblLook w:val="04A0" w:firstRow="1" w:lastRow="0" w:firstColumn="1" w:lastColumn="0" w:noHBand="0" w:noVBand="1"/>
      </w:tblPr>
      <w:tblGrid>
        <w:gridCol w:w="605"/>
        <w:gridCol w:w="2811"/>
        <w:gridCol w:w="1646"/>
        <w:gridCol w:w="1746"/>
        <w:gridCol w:w="1746"/>
      </w:tblGrid>
      <w:tr w:rsidR="004E5BC2" w14:paraId="57912D34" w14:textId="77777777" w:rsidTr="00A87220">
        <w:trPr>
          <w:jc w:val="center"/>
        </w:trPr>
        <w:tc>
          <w:tcPr>
            <w:tcW w:w="0" w:type="auto"/>
            <w:shd w:val="clear" w:color="auto" w:fill="92D050"/>
          </w:tcPr>
          <w:p w14:paraId="6CB8C0E1" w14:textId="77777777" w:rsidR="004E5BC2" w:rsidRDefault="004E5BC2" w:rsidP="00A87220">
            <w:r>
              <w:t>Case</w:t>
            </w:r>
          </w:p>
        </w:tc>
        <w:tc>
          <w:tcPr>
            <w:tcW w:w="0" w:type="auto"/>
            <w:shd w:val="clear" w:color="auto" w:fill="92D050"/>
          </w:tcPr>
          <w:p w14:paraId="06CC7A58" w14:textId="77777777" w:rsidR="004E5BC2" w:rsidRDefault="004E5BC2" w:rsidP="00A87220">
            <w:r>
              <w:t>L1 to higher layer indicator</w:t>
            </w:r>
          </w:p>
        </w:tc>
        <w:tc>
          <w:tcPr>
            <w:tcW w:w="0" w:type="auto"/>
            <w:shd w:val="clear" w:color="auto" w:fill="92D050"/>
          </w:tcPr>
          <w:p w14:paraId="6D7E2628" w14:textId="77777777" w:rsidR="004E5BC2" w:rsidRDefault="004E5BC2" w:rsidP="00A87220">
            <w:r>
              <w:t>LBT failure = 0%</w:t>
            </w:r>
          </w:p>
        </w:tc>
        <w:tc>
          <w:tcPr>
            <w:tcW w:w="0" w:type="auto"/>
            <w:shd w:val="clear" w:color="auto" w:fill="92D050"/>
          </w:tcPr>
          <w:p w14:paraId="1B8AC279" w14:textId="77777777" w:rsidR="004E5BC2" w:rsidRDefault="004E5BC2" w:rsidP="00A87220">
            <w:r>
              <w:t>LBT failure = 20%</w:t>
            </w:r>
          </w:p>
        </w:tc>
        <w:tc>
          <w:tcPr>
            <w:tcW w:w="0" w:type="auto"/>
            <w:shd w:val="clear" w:color="auto" w:fill="92D050"/>
          </w:tcPr>
          <w:p w14:paraId="35534BD6" w14:textId="77777777" w:rsidR="004E5BC2" w:rsidRDefault="004E5BC2" w:rsidP="00A87220">
            <w:r>
              <w:t>LBT failure = 80%</w:t>
            </w:r>
          </w:p>
        </w:tc>
      </w:tr>
      <w:tr w:rsidR="004E5BC2" w14:paraId="5ADE45F2" w14:textId="77777777" w:rsidTr="00A87220">
        <w:trPr>
          <w:jc w:val="center"/>
        </w:trPr>
        <w:tc>
          <w:tcPr>
            <w:tcW w:w="0" w:type="auto"/>
          </w:tcPr>
          <w:p w14:paraId="77800345" w14:textId="77777777" w:rsidR="004E5BC2" w:rsidRDefault="004E5BC2" w:rsidP="00A87220">
            <w:r>
              <w:t>1</w:t>
            </w:r>
          </w:p>
        </w:tc>
        <w:tc>
          <w:tcPr>
            <w:tcW w:w="0" w:type="auto"/>
          </w:tcPr>
          <w:p w14:paraId="050A770A" w14:textId="77777777" w:rsidR="004E5BC2" w:rsidRDefault="004E5BC2" w:rsidP="00A87220">
            <w:r>
              <w:t>IS (link good and LBT success)</w:t>
            </w:r>
          </w:p>
        </w:tc>
        <w:tc>
          <w:tcPr>
            <w:tcW w:w="0" w:type="auto"/>
          </w:tcPr>
          <w:p w14:paraId="7D856F9B" w14:textId="77777777" w:rsidR="004E5BC2" w:rsidRDefault="004E5BC2" w:rsidP="00A87220">
            <w:r>
              <w:t>80%</w:t>
            </w:r>
          </w:p>
        </w:tc>
        <w:tc>
          <w:tcPr>
            <w:tcW w:w="0" w:type="auto"/>
          </w:tcPr>
          <w:p w14:paraId="03177743" w14:textId="77777777" w:rsidR="004E5BC2" w:rsidRDefault="004E5BC2" w:rsidP="00A87220">
            <w:r>
              <w:t>64%</w:t>
            </w:r>
          </w:p>
        </w:tc>
        <w:tc>
          <w:tcPr>
            <w:tcW w:w="0" w:type="auto"/>
          </w:tcPr>
          <w:p w14:paraId="3646F2D2" w14:textId="77777777" w:rsidR="004E5BC2" w:rsidRDefault="004E5BC2" w:rsidP="00A87220">
            <w:r>
              <w:t>16%</w:t>
            </w:r>
          </w:p>
        </w:tc>
      </w:tr>
      <w:tr w:rsidR="004E5BC2" w14:paraId="73C747FA" w14:textId="77777777" w:rsidTr="00A87220">
        <w:trPr>
          <w:jc w:val="center"/>
        </w:trPr>
        <w:tc>
          <w:tcPr>
            <w:tcW w:w="0" w:type="auto"/>
          </w:tcPr>
          <w:p w14:paraId="1C2E35B9" w14:textId="77777777" w:rsidR="004E5BC2" w:rsidRDefault="004E5BC2" w:rsidP="00A87220">
            <w:r>
              <w:t>2</w:t>
            </w:r>
          </w:p>
        </w:tc>
        <w:tc>
          <w:tcPr>
            <w:tcW w:w="0" w:type="auto"/>
          </w:tcPr>
          <w:p w14:paraId="33CFC7C2" w14:textId="77777777" w:rsidR="004E5BC2" w:rsidRDefault="004E5BC2" w:rsidP="00A87220">
            <w:r>
              <w:t>OOS (link poor &amp; LBT success)</w:t>
            </w:r>
          </w:p>
        </w:tc>
        <w:tc>
          <w:tcPr>
            <w:tcW w:w="0" w:type="auto"/>
          </w:tcPr>
          <w:p w14:paraId="452F373E" w14:textId="77777777" w:rsidR="004E5BC2" w:rsidRDefault="004E5BC2" w:rsidP="00A87220">
            <w:r>
              <w:t>20%</w:t>
            </w:r>
          </w:p>
        </w:tc>
        <w:tc>
          <w:tcPr>
            <w:tcW w:w="0" w:type="auto"/>
          </w:tcPr>
          <w:p w14:paraId="3F67103A" w14:textId="77777777" w:rsidR="004E5BC2" w:rsidRDefault="004E5BC2" w:rsidP="00A87220">
            <w:r>
              <w:t>16%</w:t>
            </w:r>
          </w:p>
        </w:tc>
        <w:tc>
          <w:tcPr>
            <w:tcW w:w="0" w:type="auto"/>
          </w:tcPr>
          <w:p w14:paraId="6FE65E94" w14:textId="77777777" w:rsidR="004E5BC2" w:rsidRDefault="004E5BC2" w:rsidP="00A87220">
            <w:r>
              <w:t>4%</w:t>
            </w:r>
          </w:p>
        </w:tc>
      </w:tr>
      <w:tr w:rsidR="004E5BC2" w14:paraId="6CF790CE" w14:textId="77777777" w:rsidTr="00A87220">
        <w:trPr>
          <w:jc w:val="center"/>
        </w:trPr>
        <w:tc>
          <w:tcPr>
            <w:tcW w:w="0" w:type="auto"/>
          </w:tcPr>
          <w:p w14:paraId="3F213788" w14:textId="77777777" w:rsidR="004E5BC2" w:rsidRDefault="004E5BC2" w:rsidP="00A87220">
            <w:r>
              <w:t>3</w:t>
            </w:r>
          </w:p>
        </w:tc>
        <w:tc>
          <w:tcPr>
            <w:tcW w:w="0" w:type="auto"/>
          </w:tcPr>
          <w:p w14:paraId="785C4407" w14:textId="77777777" w:rsidR="004E5BC2" w:rsidRDefault="004E5BC2" w:rsidP="00A87220">
            <w:r>
              <w:t>OOS (link good &amp; LBT failure)</w:t>
            </w:r>
          </w:p>
        </w:tc>
        <w:tc>
          <w:tcPr>
            <w:tcW w:w="0" w:type="auto"/>
          </w:tcPr>
          <w:p w14:paraId="06AAC8C4" w14:textId="77777777" w:rsidR="004E5BC2" w:rsidRDefault="004E5BC2" w:rsidP="00A87220">
            <w:r>
              <w:t>0%</w:t>
            </w:r>
          </w:p>
        </w:tc>
        <w:tc>
          <w:tcPr>
            <w:tcW w:w="0" w:type="auto"/>
          </w:tcPr>
          <w:p w14:paraId="60E4C35E" w14:textId="77777777" w:rsidR="004E5BC2" w:rsidRDefault="004E5BC2" w:rsidP="00A87220">
            <w:r>
              <w:t>16%</w:t>
            </w:r>
          </w:p>
        </w:tc>
        <w:tc>
          <w:tcPr>
            <w:tcW w:w="0" w:type="auto"/>
          </w:tcPr>
          <w:p w14:paraId="4327E7E2" w14:textId="77777777" w:rsidR="004E5BC2" w:rsidRDefault="004E5BC2" w:rsidP="00A87220">
            <w:r>
              <w:t>64%</w:t>
            </w:r>
          </w:p>
        </w:tc>
      </w:tr>
      <w:tr w:rsidR="004E5BC2" w14:paraId="61496C9A" w14:textId="77777777" w:rsidTr="00A87220">
        <w:trPr>
          <w:jc w:val="center"/>
        </w:trPr>
        <w:tc>
          <w:tcPr>
            <w:tcW w:w="0" w:type="auto"/>
          </w:tcPr>
          <w:p w14:paraId="707B2884" w14:textId="77777777" w:rsidR="004E5BC2" w:rsidRDefault="004E5BC2" w:rsidP="00A87220">
            <w:r>
              <w:t>4</w:t>
            </w:r>
          </w:p>
        </w:tc>
        <w:tc>
          <w:tcPr>
            <w:tcW w:w="0" w:type="auto"/>
          </w:tcPr>
          <w:p w14:paraId="3FCE4F8E" w14:textId="77777777" w:rsidR="004E5BC2" w:rsidRDefault="004E5BC2" w:rsidP="00A87220">
            <w:r>
              <w:t>OOS (link poor &amp; LBT failure)</w:t>
            </w:r>
          </w:p>
        </w:tc>
        <w:tc>
          <w:tcPr>
            <w:tcW w:w="0" w:type="auto"/>
          </w:tcPr>
          <w:p w14:paraId="68CEE14F" w14:textId="77777777" w:rsidR="004E5BC2" w:rsidRDefault="004E5BC2" w:rsidP="00A87220">
            <w:r>
              <w:t>0%</w:t>
            </w:r>
          </w:p>
        </w:tc>
        <w:tc>
          <w:tcPr>
            <w:tcW w:w="0" w:type="auto"/>
          </w:tcPr>
          <w:p w14:paraId="63A69506" w14:textId="77777777" w:rsidR="004E5BC2" w:rsidRDefault="004E5BC2" w:rsidP="00A87220">
            <w:r>
              <w:t>4%</w:t>
            </w:r>
          </w:p>
        </w:tc>
        <w:tc>
          <w:tcPr>
            <w:tcW w:w="0" w:type="auto"/>
          </w:tcPr>
          <w:p w14:paraId="08AFF4A7" w14:textId="77777777" w:rsidR="004E5BC2" w:rsidRDefault="004E5BC2" w:rsidP="00A87220">
            <w:r>
              <w:t>16%</w:t>
            </w:r>
          </w:p>
        </w:tc>
      </w:tr>
      <w:tr w:rsidR="004E5BC2" w14:paraId="669F918F" w14:textId="77777777" w:rsidTr="00A87220">
        <w:trPr>
          <w:jc w:val="center"/>
        </w:trPr>
        <w:tc>
          <w:tcPr>
            <w:tcW w:w="0" w:type="auto"/>
          </w:tcPr>
          <w:p w14:paraId="58D84A27" w14:textId="77777777" w:rsidR="004E5BC2" w:rsidRDefault="004E5BC2" w:rsidP="00A87220"/>
        </w:tc>
        <w:tc>
          <w:tcPr>
            <w:tcW w:w="0" w:type="auto"/>
          </w:tcPr>
          <w:p w14:paraId="7CA19DD2" w14:textId="77777777" w:rsidR="004E5BC2" w:rsidRDefault="004E5BC2" w:rsidP="00A87220">
            <w:r>
              <w:t>Total OOS %</w:t>
            </w:r>
          </w:p>
        </w:tc>
        <w:tc>
          <w:tcPr>
            <w:tcW w:w="0" w:type="auto"/>
          </w:tcPr>
          <w:p w14:paraId="5F307175" w14:textId="77777777" w:rsidR="004E5BC2" w:rsidRDefault="004E5BC2" w:rsidP="00A87220">
            <w:r>
              <w:t>20%</w:t>
            </w:r>
          </w:p>
        </w:tc>
        <w:tc>
          <w:tcPr>
            <w:tcW w:w="0" w:type="auto"/>
          </w:tcPr>
          <w:p w14:paraId="607D6C32" w14:textId="77777777" w:rsidR="004E5BC2" w:rsidRDefault="004E5BC2" w:rsidP="00A87220">
            <w:r>
              <w:t>36%</w:t>
            </w:r>
          </w:p>
        </w:tc>
        <w:tc>
          <w:tcPr>
            <w:tcW w:w="0" w:type="auto"/>
          </w:tcPr>
          <w:p w14:paraId="46AC9A12" w14:textId="77777777" w:rsidR="004E5BC2" w:rsidRDefault="004E5BC2" w:rsidP="00A87220">
            <w:r>
              <w:t>84%</w:t>
            </w:r>
          </w:p>
        </w:tc>
      </w:tr>
    </w:tbl>
    <w:p w14:paraId="129FFFCE" w14:textId="77777777" w:rsidR="004E5BC2" w:rsidRDefault="004E5BC2" w:rsidP="004E5BC2"/>
    <w:p w14:paraId="1F25480C" w14:textId="77777777" w:rsidR="004E5BC2" w:rsidRDefault="004E5BC2" w:rsidP="004E5BC2">
      <w:r>
        <w:t xml:space="preserve">From the above, we observe that ideally (for example in licensed band), OOS probability = 20%. Depending on the medium congestion, this OOS probability does up to 36% (when LBT failure is 20%) and up to 84% (when LBT failure is 80%). </w:t>
      </w:r>
    </w:p>
    <w:p w14:paraId="7449AF66" w14:textId="77777777" w:rsidR="004E5BC2" w:rsidRPr="005C7142" w:rsidRDefault="004E5BC2" w:rsidP="004E5BC2">
      <w:pPr>
        <w:rPr>
          <w:i/>
          <w:u w:val="single"/>
          <w:lang w:val="en-US"/>
        </w:rPr>
      </w:pPr>
      <w:r>
        <w:rPr>
          <w:i/>
          <w:u w:val="single"/>
          <w:lang w:val="en-US"/>
        </w:rPr>
        <w:t>OOS suppression mechanism</w:t>
      </w:r>
    </w:p>
    <w:p w14:paraId="49DAE15A" w14:textId="4110475B" w:rsidR="004E5BC2" w:rsidRDefault="004E5BC2" w:rsidP="004E5BC2">
      <w:pPr>
        <w:keepNext/>
        <w:jc w:val="center"/>
      </w:pPr>
      <w:r w:rsidRPr="004E5BC2">
        <w:rPr>
          <w:noProof/>
          <w:lang w:val="en-US" w:eastAsia="ko-KR"/>
        </w:rPr>
        <w:drawing>
          <wp:inline distT="0" distB="0" distL="0" distR="0" wp14:anchorId="288E402F" wp14:editId="65A0354C">
            <wp:extent cx="5669280" cy="179222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69280" cy="1792224"/>
                    </a:xfrm>
                    <a:prstGeom prst="rect">
                      <a:avLst/>
                    </a:prstGeom>
                  </pic:spPr>
                </pic:pic>
              </a:graphicData>
            </a:graphic>
          </wp:inline>
        </w:drawing>
      </w:r>
    </w:p>
    <w:p w14:paraId="6D0418ED" w14:textId="77777777" w:rsidR="004E5BC2" w:rsidRPr="0017452A" w:rsidRDefault="004E5BC2" w:rsidP="004E5BC2">
      <w:pPr>
        <w:pStyle w:val="Caption"/>
        <w:jc w:val="center"/>
        <w:rPr>
          <w:rFonts w:ascii="Times New Roman" w:hAnsi="Times New Roman"/>
          <w:sz w:val="20"/>
        </w:rPr>
      </w:pPr>
      <w:bookmarkStart w:id="6" w:name="_Ref20213524"/>
      <w:r w:rsidRPr="0017452A">
        <w:rPr>
          <w:rFonts w:ascii="Times New Roman" w:hAnsi="Times New Roman"/>
          <w:sz w:val="20"/>
        </w:rPr>
        <w:t xml:space="preserve">Figure </w:t>
      </w:r>
      <w:r w:rsidRPr="0017452A">
        <w:rPr>
          <w:rFonts w:ascii="Times New Roman" w:hAnsi="Times New Roman"/>
          <w:sz w:val="20"/>
        </w:rPr>
        <w:fldChar w:fldCharType="begin"/>
      </w:r>
      <w:r w:rsidRPr="0017452A">
        <w:rPr>
          <w:rFonts w:ascii="Times New Roman" w:hAnsi="Times New Roman"/>
          <w:sz w:val="20"/>
        </w:rPr>
        <w:instrText xml:space="preserve"> SEQ Figure \* ARABIC </w:instrText>
      </w:r>
      <w:r w:rsidRPr="0017452A">
        <w:rPr>
          <w:rFonts w:ascii="Times New Roman" w:hAnsi="Times New Roman"/>
          <w:sz w:val="20"/>
        </w:rPr>
        <w:fldChar w:fldCharType="separate"/>
      </w:r>
      <w:r w:rsidR="00850659">
        <w:rPr>
          <w:rFonts w:ascii="Times New Roman" w:hAnsi="Times New Roman"/>
          <w:noProof/>
          <w:sz w:val="20"/>
        </w:rPr>
        <w:t>5</w:t>
      </w:r>
      <w:r w:rsidRPr="0017452A">
        <w:rPr>
          <w:rFonts w:ascii="Times New Roman" w:hAnsi="Times New Roman"/>
          <w:sz w:val="20"/>
        </w:rPr>
        <w:fldChar w:fldCharType="end"/>
      </w:r>
      <w:bookmarkEnd w:id="6"/>
      <w:r w:rsidRPr="0017452A">
        <w:rPr>
          <w:rFonts w:ascii="Times New Roman" w:hAnsi="Times New Roman"/>
          <w:sz w:val="20"/>
        </w:rPr>
        <w:t xml:space="preserve">: Case 2 in </w:t>
      </w:r>
      <w:r w:rsidRPr="0017452A">
        <w:rPr>
          <w:rFonts w:ascii="Times New Roman" w:hAnsi="Times New Roman"/>
          <w:sz w:val="20"/>
        </w:rPr>
        <w:fldChar w:fldCharType="begin"/>
      </w:r>
      <w:r w:rsidRPr="0017452A">
        <w:rPr>
          <w:rFonts w:ascii="Times New Roman" w:hAnsi="Times New Roman"/>
          <w:sz w:val="20"/>
        </w:rPr>
        <w:instrText xml:space="preserve"> REF _Ref20213439 \h  \* MERGEFORMAT </w:instrText>
      </w:r>
      <w:r w:rsidRPr="0017452A">
        <w:rPr>
          <w:rFonts w:ascii="Times New Roman" w:hAnsi="Times New Roman"/>
          <w:sz w:val="20"/>
        </w:rPr>
      </w:r>
      <w:r w:rsidRPr="0017452A">
        <w:rPr>
          <w:rFonts w:ascii="Times New Roman" w:hAnsi="Times New Roman"/>
          <w:sz w:val="20"/>
        </w:rPr>
        <w:fldChar w:fldCharType="separate"/>
      </w:r>
      <w:r w:rsidRPr="0017452A">
        <w:rPr>
          <w:rFonts w:ascii="Times New Roman" w:hAnsi="Times New Roman"/>
          <w:sz w:val="20"/>
        </w:rPr>
        <w:t xml:space="preserve">Table </w:t>
      </w:r>
      <w:r w:rsidRPr="0017452A">
        <w:rPr>
          <w:rFonts w:ascii="Times New Roman" w:hAnsi="Times New Roman"/>
          <w:noProof/>
          <w:sz w:val="20"/>
        </w:rPr>
        <w:t>1</w:t>
      </w:r>
      <w:r w:rsidRPr="0017452A">
        <w:rPr>
          <w:rFonts w:ascii="Times New Roman" w:hAnsi="Times New Roman"/>
          <w:sz w:val="20"/>
        </w:rPr>
        <w:fldChar w:fldCharType="end"/>
      </w:r>
      <w:r w:rsidRPr="0017452A">
        <w:rPr>
          <w:rFonts w:ascii="Times New Roman" w:hAnsi="Times New Roman"/>
          <w:sz w:val="20"/>
        </w:rPr>
        <w:t xml:space="preserve"> includes the case where RLM-RS is successfully detected and SINR is below the SINR threshold for OOS detection as shown in the shaded region of the figure</w:t>
      </w:r>
    </w:p>
    <w:p w14:paraId="513D3721" w14:textId="77777777" w:rsidR="004E5BC2" w:rsidRDefault="004E5BC2" w:rsidP="004E5BC2">
      <w:pPr>
        <w:rPr>
          <w:lang w:val="en-US"/>
        </w:rPr>
      </w:pPr>
    </w:p>
    <w:p w14:paraId="19EBF39E" w14:textId="4E6AC80A" w:rsidR="004E5BC2" w:rsidRDefault="004E5BC2" w:rsidP="004E5BC2">
      <w:pPr>
        <w:rPr>
          <w:lang w:val="en-US"/>
        </w:rPr>
      </w:pPr>
      <w:r>
        <w:rPr>
          <w:lang w:val="en-US"/>
        </w:rPr>
        <w:t xml:space="preserve">From </w:t>
      </w:r>
      <w:r>
        <w:rPr>
          <w:lang w:val="en-US"/>
        </w:rPr>
        <w:fldChar w:fldCharType="begin"/>
      </w:r>
      <w:r>
        <w:rPr>
          <w:lang w:val="en-US"/>
        </w:rPr>
        <w:instrText xml:space="preserve"> REF _Ref20213439 \h </w:instrText>
      </w:r>
      <w:r>
        <w:rPr>
          <w:lang w:val="en-US"/>
        </w:rPr>
      </w:r>
      <w:r>
        <w:rPr>
          <w:lang w:val="en-US"/>
        </w:rPr>
        <w:fldChar w:fldCharType="separate"/>
      </w:r>
      <w:r w:rsidRPr="0017452A">
        <w:rPr>
          <w:rFonts w:ascii="Times New Roman" w:hAnsi="Times New Roman"/>
        </w:rPr>
        <w:t xml:space="preserve">Table </w:t>
      </w:r>
      <w:r w:rsidRPr="0017452A">
        <w:rPr>
          <w:rFonts w:ascii="Times New Roman" w:hAnsi="Times New Roman"/>
          <w:noProof/>
        </w:rPr>
        <w:t>1</w:t>
      </w:r>
      <w:r>
        <w:rPr>
          <w:lang w:val="en-US"/>
        </w:rPr>
        <w:fldChar w:fldCharType="end"/>
      </w:r>
      <w:r>
        <w:rPr>
          <w:lang w:val="en-US"/>
        </w:rPr>
        <w:t xml:space="preserve"> and </w:t>
      </w:r>
      <w:r>
        <w:rPr>
          <w:lang w:val="en-US"/>
        </w:rPr>
        <w:fldChar w:fldCharType="begin"/>
      </w:r>
      <w:r>
        <w:rPr>
          <w:lang w:val="en-US"/>
        </w:rPr>
        <w:instrText xml:space="preserve"> REF _Ref20213524 \h </w:instrText>
      </w:r>
      <w:r>
        <w:rPr>
          <w:lang w:val="en-US"/>
        </w:rPr>
      </w:r>
      <w:r>
        <w:rPr>
          <w:lang w:val="en-US"/>
        </w:rPr>
        <w:fldChar w:fldCharType="separate"/>
      </w:r>
      <w:r w:rsidRPr="0017452A">
        <w:rPr>
          <w:rFonts w:ascii="Times New Roman" w:hAnsi="Times New Roman"/>
        </w:rPr>
        <w:t xml:space="preserve">Figure </w:t>
      </w:r>
      <w:r w:rsidRPr="0017452A">
        <w:rPr>
          <w:rFonts w:ascii="Times New Roman" w:hAnsi="Times New Roman"/>
          <w:noProof/>
        </w:rPr>
        <w:t>1</w:t>
      </w:r>
      <w:r>
        <w:rPr>
          <w:lang w:val="en-US"/>
        </w:rPr>
        <w:fldChar w:fldCharType="end"/>
      </w:r>
      <w:r>
        <w:rPr>
          <w:lang w:val="en-US"/>
        </w:rPr>
        <w:t xml:space="preserve"> we observe that LBT success may be detected at the UE based on SSB detection or other side information (like remaining COT time). We denote this indicator as failure to detect (FTD) = False. Based on such information, Case 2 OOS indications could weighted with respect to Case 3/Case 4 OOS indications in 80:20 ratio as shown below. </w:t>
      </w:r>
    </w:p>
    <w:p w14:paraId="0BEDC6E6" w14:textId="3E6F1DC1" w:rsidR="004E5BC2" w:rsidRDefault="004E5BC2" w:rsidP="004E5BC2">
      <w:pPr>
        <w:pStyle w:val="Caption"/>
        <w:keepNext/>
        <w:jc w:val="center"/>
      </w:pPr>
      <w:bookmarkStart w:id="7" w:name="_Ref20214382"/>
      <w:r>
        <w:t xml:space="preserve">Table </w:t>
      </w:r>
      <w:r>
        <w:fldChar w:fldCharType="begin"/>
      </w:r>
      <w:r>
        <w:instrText xml:space="preserve"> SEQ Table \* ARABIC </w:instrText>
      </w:r>
      <w:r>
        <w:fldChar w:fldCharType="separate"/>
      </w:r>
      <w:r>
        <w:rPr>
          <w:noProof/>
        </w:rPr>
        <w:t>2</w:t>
      </w:r>
      <w:r>
        <w:fldChar w:fldCharType="end"/>
      </w:r>
      <w:bookmarkEnd w:id="7"/>
      <w:r>
        <w:t xml:space="preserve">: Modified </w:t>
      </w:r>
      <w:r w:rsidRPr="0017452A">
        <w:rPr>
          <w:rFonts w:ascii="Times New Roman" w:hAnsi="Times New Roman"/>
          <w:sz w:val="20"/>
        </w:rPr>
        <w:t xml:space="preserve">probability of detection </w:t>
      </w:r>
      <w:r>
        <w:rPr>
          <w:rFonts w:ascii="Times New Roman" w:hAnsi="Times New Roman"/>
          <w:sz w:val="20"/>
        </w:rPr>
        <w:t>of OOS after weighting using a third indicator (FTD)</w:t>
      </w:r>
    </w:p>
    <w:tbl>
      <w:tblPr>
        <w:tblStyle w:val="TableGrid"/>
        <w:tblW w:w="0" w:type="auto"/>
        <w:jc w:val="center"/>
        <w:tblLook w:val="04A0" w:firstRow="1" w:lastRow="0" w:firstColumn="1" w:lastColumn="0" w:noHBand="0" w:noVBand="1"/>
      </w:tblPr>
      <w:tblGrid>
        <w:gridCol w:w="605"/>
        <w:gridCol w:w="3979"/>
        <w:gridCol w:w="1646"/>
        <w:gridCol w:w="1746"/>
        <w:gridCol w:w="1746"/>
      </w:tblGrid>
      <w:tr w:rsidR="004E5BC2" w14:paraId="31600CF0" w14:textId="77777777" w:rsidTr="00A87220">
        <w:trPr>
          <w:jc w:val="center"/>
        </w:trPr>
        <w:tc>
          <w:tcPr>
            <w:tcW w:w="0" w:type="auto"/>
            <w:shd w:val="clear" w:color="auto" w:fill="92D050"/>
          </w:tcPr>
          <w:p w14:paraId="3BF41882" w14:textId="77777777" w:rsidR="004E5BC2" w:rsidRDefault="004E5BC2" w:rsidP="00A87220">
            <w:r>
              <w:t>Case</w:t>
            </w:r>
          </w:p>
        </w:tc>
        <w:tc>
          <w:tcPr>
            <w:tcW w:w="0" w:type="auto"/>
            <w:shd w:val="clear" w:color="auto" w:fill="92D050"/>
          </w:tcPr>
          <w:p w14:paraId="1E5CFA7C" w14:textId="77777777" w:rsidR="004E5BC2" w:rsidRDefault="004E5BC2" w:rsidP="00A87220">
            <w:r>
              <w:t>L1 to higher layer indicator</w:t>
            </w:r>
          </w:p>
        </w:tc>
        <w:tc>
          <w:tcPr>
            <w:tcW w:w="0" w:type="auto"/>
            <w:shd w:val="clear" w:color="auto" w:fill="92D050"/>
          </w:tcPr>
          <w:p w14:paraId="700236EB" w14:textId="77777777" w:rsidR="004E5BC2" w:rsidRDefault="004E5BC2" w:rsidP="00A87220">
            <w:r>
              <w:t>LBT failure = 0%</w:t>
            </w:r>
          </w:p>
        </w:tc>
        <w:tc>
          <w:tcPr>
            <w:tcW w:w="0" w:type="auto"/>
            <w:shd w:val="clear" w:color="auto" w:fill="92D050"/>
          </w:tcPr>
          <w:p w14:paraId="2001C757" w14:textId="77777777" w:rsidR="004E5BC2" w:rsidRDefault="004E5BC2" w:rsidP="00A87220">
            <w:r>
              <w:t>LBT failure = 20%</w:t>
            </w:r>
          </w:p>
        </w:tc>
        <w:tc>
          <w:tcPr>
            <w:tcW w:w="0" w:type="auto"/>
            <w:shd w:val="clear" w:color="auto" w:fill="92D050"/>
          </w:tcPr>
          <w:p w14:paraId="7F4912B8" w14:textId="77777777" w:rsidR="004E5BC2" w:rsidRDefault="004E5BC2" w:rsidP="00A87220">
            <w:r>
              <w:t>LBT failure = 80%</w:t>
            </w:r>
          </w:p>
        </w:tc>
      </w:tr>
      <w:tr w:rsidR="004E5BC2" w14:paraId="5E9E3D35" w14:textId="77777777" w:rsidTr="00A87220">
        <w:trPr>
          <w:jc w:val="center"/>
        </w:trPr>
        <w:tc>
          <w:tcPr>
            <w:tcW w:w="0" w:type="auto"/>
          </w:tcPr>
          <w:p w14:paraId="4CDD22D6" w14:textId="77777777" w:rsidR="004E5BC2" w:rsidRDefault="004E5BC2" w:rsidP="00A87220">
            <w:r>
              <w:t>1</w:t>
            </w:r>
          </w:p>
        </w:tc>
        <w:tc>
          <w:tcPr>
            <w:tcW w:w="0" w:type="auto"/>
          </w:tcPr>
          <w:p w14:paraId="5A8E48CD" w14:textId="09DBC03E" w:rsidR="004E5BC2" w:rsidRDefault="004E5BC2" w:rsidP="00B8701C">
            <w:r>
              <w:t xml:space="preserve">IS </w:t>
            </w:r>
            <w:r w:rsidR="00B8701C">
              <w:t xml:space="preserve">&amp; FTD=False </w:t>
            </w:r>
            <w:r>
              <w:t>(link good and LBT success)</w:t>
            </w:r>
          </w:p>
        </w:tc>
        <w:tc>
          <w:tcPr>
            <w:tcW w:w="0" w:type="auto"/>
          </w:tcPr>
          <w:p w14:paraId="1F8BD13E" w14:textId="77777777" w:rsidR="004E5BC2" w:rsidRDefault="004E5BC2" w:rsidP="00A87220">
            <w:r>
              <w:t>80%</w:t>
            </w:r>
          </w:p>
        </w:tc>
        <w:tc>
          <w:tcPr>
            <w:tcW w:w="0" w:type="auto"/>
          </w:tcPr>
          <w:p w14:paraId="51E6F929" w14:textId="77777777" w:rsidR="004E5BC2" w:rsidRDefault="004E5BC2" w:rsidP="00A87220">
            <w:r>
              <w:t>64%</w:t>
            </w:r>
          </w:p>
        </w:tc>
        <w:tc>
          <w:tcPr>
            <w:tcW w:w="0" w:type="auto"/>
          </w:tcPr>
          <w:p w14:paraId="24F1783B" w14:textId="77777777" w:rsidR="004E5BC2" w:rsidRDefault="004E5BC2" w:rsidP="00A87220">
            <w:r>
              <w:t>16%</w:t>
            </w:r>
          </w:p>
        </w:tc>
      </w:tr>
      <w:tr w:rsidR="004E5BC2" w14:paraId="7627F6F4" w14:textId="77777777" w:rsidTr="00A87220">
        <w:trPr>
          <w:jc w:val="center"/>
        </w:trPr>
        <w:tc>
          <w:tcPr>
            <w:tcW w:w="0" w:type="auto"/>
          </w:tcPr>
          <w:p w14:paraId="779F08EC" w14:textId="77777777" w:rsidR="004E5BC2" w:rsidRDefault="004E5BC2" w:rsidP="00A87220">
            <w:r>
              <w:t>2</w:t>
            </w:r>
          </w:p>
        </w:tc>
        <w:tc>
          <w:tcPr>
            <w:tcW w:w="0" w:type="auto"/>
          </w:tcPr>
          <w:p w14:paraId="2B262A71" w14:textId="3D057F54" w:rsidR="004E5BC2" w:rsidRDefault="004E5BC2" w:rsidP="00A87220">
            <w:r>
              <w:t>OOS &amp; FTD=False (link poor &amp; LBT success)</w:t>
            </w:r>
          </w:p>
        </w:tc>
        <w:tc>
          <w:tcPr>
            <w:tcW w:w="0" w:type="auto"/>
          </w:tcPr>
          <w:p w14:paraId="7236E952" w14:textId="77777777" w:rsidR="004E5BC2" w:rsidRDefault="004E5BC2" w:rsidP="00A87220">
            <w:r>
              <w:t>20% x 0.8=16%</w:t>
            </w:r>
          </w:p>
        </w:tc>
        <w:tc>
          <w:tcPr>
            <w:tcW w:w="0" w:type="auto"/>
          </w:tcPr>
          <w:p w14:paraId="3FA1D870" w14:textId="77777777" w:rsidR="004E5BC2" w:rsidRDefault="004E5BC2" w:rsidP="00A87220">
            <w:r>
              <w:t>16% x 0.8=12.8%</w:t>
            </w:r>
          </w:p>
        </w:tc>
        <w:tc>
          <w:tcPr>
            <w:tcW w:w="0" w:type="auto"/>
          </w:tcPr>
          <w:p w14:paraId="3EF91F06" w14:textId="77777777" w:rsidR="004E5BC2" w:rsidRDefault="004E5BC2" w:rsidP="00A87220">
            <w:r>
              <w:t>4% x 0.8=3.2%</w:t>
            </w:r>
          </w:p>
        </w:tc>
      </w:tr>
      <w:tr w:rsidR="004E5BC2" w14:paraId="67A8B270" w14:textId="77777777" w:rsidTr="00A87220">
        <w:trPr>
          <w:jc w:val="center"/>
        </w:trPr>
        <w:tc>
          <w:tcPr>
            <w:tcW w:w="0" w:type="auto"/>
          </w:tcPr>
          <w:p w14:paraId="7639DD4F" w14:textId="77777777" w:rsidR="004E5BC2" w:rsidRDefault="004E5BC2" w:rsidP="00A87220">
            <w:r>
              <w:t>3</w:t>
            </w:r>
          </w:p>
        </w:tc>
        <w:tc>
          <w:tcPr>
            <w:tcW w:w="0" w:type="auto"/>
          </w:tcPr>
          <w:p w14:paraId="24EC047B" w14:textId="0A74F771" w:rsidR="004E5BC2" w:rsidRDefault="004E5BC2" w:rsidP="00A87220">
            <w:r>
              <w:t>OOS &amp; FTD=True (link good &amp; LBT failure)</w:t>
            </w:r>
          </w:p>
        </w:tc>
        <w:tc>
          <w:tcPr>
            <w:tcW w:w="0" w:type="auto"/>
          </w:tcPr>
          <w:p w14:paraId="0D74A200" w14:textId="77777777" w:rsidR="004E5BC2" w:rsidRDefault="004E5BC2" w:rsidP="00A87220">
            <w:r>
              <w:t>0%</w:t>
            </w:r>
          </w:p>
        </w:tc>
        <w:tc>
          <w:tcPr>
            <w:tcW w:w="0" w:type="auto"/>
          </w:tcPr>
          <w:p w14:paraId="4E77A022" w14:textId="77777777" w:rsidR="004E5BC2" w:rsidRDefault="004E5BC2" w:rsidP="00A87220">
            <w:r>
              <w:t>16% x 0.2=3.2%</w:t>
            </w:r>
          </w:p>
        </w:tc>
        <w:tc>
          <w:tcPr>
            <w:tcW w:w="0" w:type="auto"/>
          </w:tcPr>
          <w:p w14:paraId="5E4712CA" w14:textId="77777777" w:rsidR="004E5BC2" w:rsidRDefault="004E5BC2" w:rsidP="00A87220">
            <w:r>
              <w:t>64% x 0.2=12.8%</w:t>
            </w:r>
          </w:p>
        </w:tc>
      </w:tr>
      <w:tr w:rsidR="004E5BC2" w14:paraId="4E5F31CF" w14:textId="77777777" w:rsidTr="00A87220">
        <w:trPr>
          <w:jc w:val="center"/>
        </w:trPr>
        <w:tc>
          <w:tcPr>
            <w:tcW w:w="0" w:type="auto"/>
          </w:tcPr>
          <w:p w14:paraId="4DD25179" w14:textId="77777777" w:rsidR="004E5BC2" w:rsidRDefault="004E5BC2" w:rsidP="00A87220">
            <w:r>
              <w:t>4</w:t>
            </w:r>
          </w:p>
        </w:tc>
        <w:tc>
          <w:tcPr>
            <w:tcW w:w="0" w:type="auto"/>
          </w:tcPr>
          <w:p w14:paraId="188C602F" w14:textId="2CF76C0A" w:rsidR="004E5BC2" w:rsidRDefault="004E5BC2" w:rsidP="004E5BC2">
            <w:r>
              <w:t>OOS &amp; FTD=True (link poor &amp; LBT failure)</w:t>
            </w:r>
          </w:p>
        </w:tc>
        <w:tc>
          <w:tcPr>
            <w:tcW w:w="0" w:type="auto"/>
          </w:tcPr>
          <w:p w14:paraId="5C529AA7" w14:textId="77777777" w:rsidR="004E5BC2" w:rsidRDefault="004E5BC2" w:rsidP="00A87220">
            <w:r>
              <w:t>0%</w:t>
            </w:r>
          </w:p>
        </w:tc>
        <w:tc>
          <w:tcPr>
            <w:tcW w:w="0" w:type="auto"/>
          </w:tcPr>
          <w:p w14:paraId="6803DF9E" w14:textId="77777777" w:rsidR="004E5BC2" w:rsidRDefault="004E5BC2" w:rsidP="00A87220">
            <w:r>
              <w:t>4% x 0.2=0.8%</w:t>
            </w:r>
          </w:p>
        </w:tc>
        <w:tc>
          <w:tcPr>
            <w:tcW w:w="0" w:type="auto"/>
          </w:tcPr>
          <w:p w14:paraId="77A6A043" w14:textId="77777777" w:rsidR="004E5BC2" w:rsidRDefault="004E5BC2" w:rsidP="00A87220">
            <w:r>
              <w:t>16% x 0.2=3.2%</w:t>
            </w:r>
          </w:p>
        </w:tc>
      </w:tr>
      <w:tr w:rsidR="004E5BC2" w14:paraId="26C2EECE" w14:textId="77777777" w:rsidTr="00A87220">
        <w:trPr>
          <w:jc w:val="center"/>
        </w:trPr>
        <w:tc>
          <w:tcPr>
            <w:tcW w:w="0" w:type="auto"/>
          </w:tcPr>
          <w:p w14:paraId="3506BBA0" w14:textId="77777777" w:rsidR="004E5BC2" w:rsidRDefault="004E5BC2" w:rsidP="00A87220"/>
        </w:tc>
        <w:tc>
          <w:tcPr>
            <w:tcW w:w="0" w:type="auto"/>
          </w:tcPr>
          <w:p w14:paraId="5E58B267" w14:textId="77777777" w:rsidR="004E5BC2" w:rsidRDefault="004E5BC2" w:rsidP="00A87220">
            <w:r>
              <w:t>Total OOS %</w:t>
            </w:r>
          </w:p>
        </w:tc>
        <w:tc>
          <w:tcPr>
            <w:tcW w:w="0" w:type="auto"/>
          </w:tcPr>
          <w:p w14:paraId="0BC10BFD" w14:textId="77777777" w:rsidR="004E5BC2" w:rsidRDefault="004E5BC2" w:rsidP="00A87220">
            <w:r>
              <w:t>16%</w:t>
            </w:r>
          </w:p>
        </w:tc>
        <w:tc>
          <w:tcPr>
            <w:tcW w:w="0" w:type="auto"/>
          </w:tcPr>
          <w:p w14:paraId="07F591FA" w14:textId="77777777" w:rsidR="004E5BC2" w:rsidRDefault="004E5BC2" w:rsidP="00A87220">
            <w:r>
              <w:t>16.8%</w:t>
            </w:r>
          </w:p>
        </w:tc>
        <w:tc>
          <w:tcPr>
            <w:tcW w:w="0" w:type="auto"/>
          </w:tcPr>
          <w:p w14:paraId="72EDC59C" w14:textId="77777777" w:rsidR="004E5BC2" w:rsidRDefault="004E5BC2" w:rsidP="00A87220">
            <w:r>
              <w:t>19.2%</w:t>
            </w:r>
          </w:p>
        </w:tc>
      </w:tr>
    </w:tbl>
    <w:p w14:paraId="1F501580" w14:textId="77777777" w:rsidR="004E5BC2" w:rsidRDefault="004E5BC2" w:rsidP="004E5BC2">
      <w:pPr>
        <w:rPr>
          <w:lang w:val="en-US"/>
        </w:rPr>
      </w:pPr>
    </w:p>
    <w:p w14:paraId="5E559FF9" w14:textId="77777777" w:rsidR="004E5BC2" w:rsidRDefault="004E5BC2" w:rsidP="004E5BC2">
      <w:r>
        <w:rPr>
          <w:lang w:val="en-US"/>
        </w:rPr>
        <w:t xml:space="preserve">From </w:t>
      </w:r>
      <w:r>
        <w:rPr>
          <w:lang w:val="en-US"/>
        </w:rPr>
        <w:fldChar w:fldCharType="begin"/>
      </w:r>
      <w:r>
        <w:rPr>
          <w:lang w:val="en-US"/>
        </w:rPr>
        <w:instrText xml:space="preserve"> REF _Ref20214382 \h </w:instrText>
      </w:r>
      <w:r>
        <w:rPr>
          <w:lang w:val="en-US"/>
        </w:rPr>
      </w:r>
      <w:r>
        <w:rPr>
          <w:lang w:val="en-US"/>
        </w:rPr>
        <w:fldChar w:fldCharType="separate"/>
      </w:r>
      <w:r>
        <w:t xml:space="preserve">Table </w:t>
      </w:r>
      <w:r>
        <w:rPr>
          <w:noProof/>
        </w:rPr>
        <w:t>2</w:t>
      </w:r>
      <w:r>
        <w:rPr>
          <w:lang w:val="en-US"/>
        </w:rPr>
        <w:fldChar w:fldCharType="end"/>
      </w:r>
      <w:r>
        <w:rPr>
          <w:lang w:val="en-US"/>
        </w:rPr>
        <w:t xml:space="preserve"> above, we observe that suppression or weighting of some OOS indicators can help to reduce the false OOS indicators due to LBT failure (to a certain extent) although such mechanism is non-trivial and may need to adjust to different congestion levels.</w:t>
      </w:r>
      <w:r>
        <w:t xml:space="preserve"> Then we have the following observations:</w:t>
      </w:r>
    </w:p>
    <w:p w14:paraId="15E6F072" w14:textId="77777777" w:rsidR="004E5BC2" w:rsidRDefault="004E5BC2" w:rsidP="004E5BC2">
      <w:pPr>
        <w:pStyle w:val="ListParagraph"/>
        <w:numPr>
          <w:ilvl w:val="0"/>
          <w:numId w:val="18"/>
        </w:numPr>
      </w:pPr>
      <w:r>
        <w:t xml:space="preserve">OOS probability depends heavily on the medium congestion and may not reflect true link quality due to congestion </w:t>
      </w:r>
    </w:p>
    <w:p w14:paraId="57A308D9" w14:textId="77777777" w:rsidR="004E5BC2" w:rsidRPr="000F5144" w:rsidRDefault="004E5BC2" w:rsidP="004E5BC2">
      <w:pPr>
        <w:pStyle w:val="ListParagraph"/>
        <w:numPr>
          <w:ilvl w:val="0"/>
          <w:numId w:val="18"/>
        </w:numPr>
      </w:pPr>
      <w:r>
        <w:rPr>
          <w:lang w:val="en-US"/>
        </w:rPr>
        <w:t>In order to reduce false RLF a mechanism is needed to suppress some OOS indications. If it is left to UE implementation then there will be no such requirement (from RAN4 perspective) and the NW will have no control over the responsiveness of the RLM procedure because the UE autonomously will suppress certain OOS indicators.</w:t>
      </w:r>
    </w:p>
    <w:p w14:paraId="249758F5" w14:textId="77777777" w:rsidR="004E5BC2" w:rsidRDefault="004E5BC2" w:rsidP="004E5BC2">
      <w:pPr>
        <w:pStyle w:val="ListParagraph"/>
        <w:spacing w:before="120"/>
        <w:ind w:left="0"/>
        <w:rPr>
          <w:b/>
          <w:szCs w:val="20"/>
          <w:u w:val="single"/>
          <w:lang w:val="en-US"/>
        </w:rPr>
      </w:pPr>
    </w:p>
    <w:p w14:paraId="70D31EBA" w14:textId="683E58E2" w:rsidR="00997357" w:rsidRDefault="004E5BC2" w:rsidP="004E5BC2">
      <w:pPr>
        <w:rPr>
          <w:b/>
          <w:i/>
          <w:szCs w:val="20"/>
          <w:lang w:val="en-US"/>
        </w:rPr>
      </w:pPr>
      <w:r>
        <w:rPr>
          <w:b/>
          <w:i/>
          <w:szCs w:val="20"/>
          <w:lang w:val="en-US"/>
        </w:rPr>
        <w:lastRenderedPageBreak/>
        <w:t>Proposal</w:t>
      </w:r>
      <w:r w:rsidR="009605BD">
        <w:rPr>
          <w:b/>
          <w:i/>
          <w:szCs w:val="20"/>
          <w:lang w:val="en-US"/>
        </w:rPr>
        <w:t>-6</w:t>
      </w:r>
      <w:r w:rsidRPr="0015118C">
        <w:rPr>
          <w:b/>
          <w:i/>
          <w:szCs w:val="20"/>
          <w:lang w:val="en-US"/>
        </w:rPr>
        <w:t xml:space="preserve">: </w:t>
      </w:r>
      <w:r w:rsidR="00FD25B1">
        <w:rPr>
          <w:b/>
          <w:i/>
          <w:szCs w:val="20"/>
          <w:lang w:val="en-US"/>
        </w:rPr>
        <w:t>Specify</w:t>
      </w:r>
      <w:r w:rsidRPr="0015118C">
        <w:rPr>
          <w:b/>
          <w:i/>
          <w:szCs w:val="20"/>
          <w:lang w:val="en-US"/>
        </w:rPr>
        <w:t xml:space="preserve"> a third indicator type (e.g. failed to detect – FTD indication) to higher layers in addition to IS and OOS indications.</w:t>
      </w:r>
    </w:p>
    <w:p w14:paraId="146E8F7F" w14:textId="30D86E70" w:rsidR="009B19F0" w:rsidRPr="004E5BC2" w:rsidRDefault="009B19F0" w:rsidP="00E930C3">
      <w:pPr>
        <w:pStyle w:val="ListParagraph"/>
        <w:spacing w:before="120"/>
        <w:ind w:left="0"/>
        <w:rPr>
          <w:szCs w:val="20"/>
        </w:rPr>
      </w:pPr>
    </w:p>
    <w:p w14:paraId="3FBA241B" w14:textId="0028456A" w:rsidR="0009416B" w:rsidRDefault="0009416B" w:rsidP="00203947">
      <w:pPr>
        <w:pStyle w:val="Heading1"/>
        <w:ind w:hanging="522"/>
      </w:pPr>
      <w:r w:rsidRPr="0009416B">
        <w:t>Enhancements to the 4-step random access procedure</w:t>
      </w:r>
    </w:p>
    <w:p w14:paraId="3CD25214" w14:textId="7EC8B4E6" w:rsidR="0009416B" w:rsidRDefault="0009416B" w:rsidP="0009416B">
      <w:pPr>
        <w:spacing w:before="240" w:after="240"/>
      </w:pPr>
      <w:r w:rsidRPr="0009416B">
        <w:t xml:space="preserve">In previous RAN1 meetings during the study on NR-based access to unlicensed spectrum the following are some of the agreements </w:t>
      </w:r>
      <w:r w:rsidR="00DB60BE">
        <w:t xml:space="preserve">that </w:t>
      </w:r>
      <w:r w:rsidRPr="0009416B">
        <w:t>were made related to initial access and mobility:</w:t>
      </w:r>
    </w:p>
    <w:p w14:paraId="593B91C7" w14:textId="77777777" w:rsidR="0009416B" w:rsidRPr="00124449" w:rsidRDefault="0009416B" w:rsidP="0009416B">
      <w:pPr>
        <w:rPr>
          <w:i/>
        </w:rPr>
      </w:pPr>
      <w:r w:rsidRPr="00124449">
        <w:rPr>
          <w:i/>
          <w:highlight w:val="green"/>
        </w:rPr>
        <w:t xml:space="preserve">Agreement </w:t>
      </w:r>
      <w:r w:rsidRPr="00124449">
        <w:rPr>
          <w:i/>
          <w:highlight w:val="green"/>
          <w:lang w:val="en-US"/>
        </w:rPr>
        <w:t>(RAN1#94bis)</w:t>
      </w:r>
      <w:r w:rsidRPr="00124449">
        <w:rPr>
          <w:i/>
          <w:lang w:val="en-US"/>
        </w:rPr>
        <w:t>:</w:t>
      </w:r>
    </w:p>
    <w:p w14:paraId="5D54656B" w14:textId="77777777" w:rsidR="0009416B" w:rsidRPr="00124449" w:rsidRDefault="0009416B" w:rsidP="0009416B">
      <w:pPr>
        <w:rPr>
          <w:i/>
          <w:lang w:val="en-US"/>
        </w:rPr>
      </w:pPr>
      <w:r w:rsidRPr="00124449">
        <w:rPr>
          <w:i/>
          <w:lang w:val="en-US"/>
        </w:rPr>
        <w:t>Following options have been identified for potential RACH resource enhancements in NR-U beyond the flexibility already available in Rel-15:</w:t>
      </w:r>
    </w:p>
    <w:p w14:paraId="09C3A9D1" w14:textId="77777777" w:rsidR="0009416B" w:rsidRPr="00124449" w:rsidRDefault="0009416B" w:rsidP="000C277C">
      <w:pPr>
        <w:numPr>
          <w:ilvl w:val="0"/>
          <w:numId w:val="12"/>
        </w:numPr>
        <w:rPr>
          <w:b/>
          <w:i/>
          <w:lang w:val="en-US"/>
        </w:rPr>
      </w:pPr>
      <w:r w:rsidRPr="00124449">
        <w:rPr>
          <w:b/>
          <w:i/>
          <w:lang w:val="en-US"/>
        </w:rPr>
        <w:t>Frequency-domain enhancement</w:t>
      </w:r>
    </w:p>
    <w:p w14:paraId="325678A4" w14:textId="77777777" w:rsidR="0009416B" w:rsidRPr="00124449" w:rsidRDefault="0009416B" w:rsidP="000C277C">
      <w:pPr>
        <w:numPr>
          <w:ilvl w:val="1"/>
          <w:numId w:val="12"/>
        </w:numPr>
        <w:rPr>
          <w:i/>
          <w:lang w:val="en-US"/>
        </w:rPr>
      </w:pPr>
      <w:r w:rsidRPr="00124449">
        <w:rPr>
          <w:i/>
          <w:lang w:val="en-US"/>
        </w:rPr>
        <w:t>Multiple PRACH resources across multiple LBT sub-bands/carriers for both contention-free and contention-based RA</w:t>
      </w:r>
    </w:p>
    <w:p w14:paraId="3A5EEA85" w14:textId="77777777" w:rsidR="0009416B" w:rsidRPr="00124449" w:rsidRDefault="0009416B" w:rsidP="000C277C">
      <w:pPr>
        <w:numPr>
          <w:ilvl w:val="0"/>
          <w:numId w:val="12"/>
        </w:numPr>
        <w:rPr>
          <w:b/>
          <w:i/>
          <w:lang w:val="en-US"/>
        </w:rPr>
      </w:pPr>
      <w:r w:rsidRPr="00124449">
        <w:rPr>
          <w:b/>
          <w:i/>
          <w:lang w:val="en-US"/>
        </w:rPr>
        <w:t>Time-domain enhancements</w:t>
      </w:r>
    </w:p>
    <w:p w14:paraId="6657B9F8" w14:textId="77777777" w:rsidR="0009416B" w:rsidRPr="00124449" w:rsidRDefault="0009416B" w:rsidP="000C277C">
      <w:pPr>
        <w:numPr>
          <w:ilvl w:val="1"/>
          <w:numId w:val="12"/>
        </w:numPr>
        <w:rPr>
          <w:i/>
          <w:lang w:val="en-US"/>
        </w:rPr>
      </w:pPr>
      <w:r w:rsidRPr="00124449">
        <w:rPr>
          <w:i/>
          <w:lang w:val="en-US"/>
        </w:rPr>
        <w:t xml:space="preserve">For connected mode UE, scheduling of PRACH resources via DCI. </w:t>
      </w:r>
    </w:p>
    <w:p w14:paraId="4E864E23" w14:textId="77777777" w:rsidR="0009416B" w:rsidRPr="00124449" w:rsidRDefault="0009416B" w:rsidP="000C277C">
      <w:pPr>
        <w:numPr>
          <w:ilvl w:val="2"/>
          <w:numId w:val="12"/>
        </w:numPr>
        <w:rPr>
          <w:i/>
          <w:lang w:val="en-US"/>
        </w:rPr>
      </w:pPr>
      <w:r w:rsidRPr="00124449">
        <w:rPr>
          <w:i/>
          <w:lang w:val="en-US"/>
        </w:rPr>
        <w:t>Triggered PRACH within TXOP can use a new resource</w:t>
      </w:r>
    </w:p>
    <w:p w14:paraId="117075E6" w14:textId="77777777" w:rsidR="0009416B" w:rsidRPr="00124449" w:rsidRDefault="0009416B" w:rsidP="000C277C">
      <w:pPr>
        <w:numPr>
          <w:ilvl w:val="1"/>
          <w:numId w:val="12"/>
        </w:numPr>
        <w:rPr>
          <w:i/>
          <w:lang w:val="en-US"/>
        </w:rPr>
      </w:pPr>
      <w:r w:rsidRPr="00124449">
        <w:rPr>
          <w:i/>
          <w:lang w:val="en-US"/>
        </w:rPr>
        <w:t>For idle mode UE, scheduling of PRACH resources via paging</w:t>
      </w:r>
    </w:p>
    <w:p w14:paraId="2267C296" w14:textId="77777777" w:rsidR="0009416B" w:rsidRPr="00124449" w:rsidRDefault="0009416B" w:rsidP="000C277C">
      <w:pPr>
        <w:numPr>
          <w:ilvl w:val="2"/>
          <w:numId w:val="12"/>
        </w:numPr>
        <w:rPr>
          <w:i/>
          <w:lang w:val="en-US"/>
        </w:rPr>
      </w:pPr>
      <w:r w:rsidRPr="00124449">
        <w:rPr>
          <w:i/>
          <w:lang w:val="en-US"/>
        </w:rPr>
        <w:t>Note: potential inefficiency in network resource due to paging across multiple cells</w:t>
      </w:r>
    </w:p>
    <w:p w14:paraId="01A0B9A8" w14:textId="77777777" w:rsidR="0009416B" w:rsidRPr="00124449" w:rsidRDefault="0009416B" w:rsidP="000C277C">
      <w:pPr>
        <w:numPr>
          <w:ilvl w:val="1"/>
          <w:numId w:val="12"/>
        </w:numPr>
        <w:rPr>
          <w:i/>
          <w:lang w:val="en-US"/>
        </w:rPr>
      </w:pPr>
      <w:r w:rsidRPr="00124449">
        <w:rPr>
          <w:i/>
          <w:lang w:val="en-US"/>
        </w:rPr>
        <w:t>Additional, new RACH resources are used immediately following detection of DRS transmission</w:t>
      </w:r>
    </w:p>
    <w:p w14:paraId="0DFF0840" w14:textId="77777777" w:rsidR="0009416B" w:rsidRPr="00124449" w:rsidRDefault="0009416B" w:rsidP="000C277C">
      <w:pPr>
        <w:numPr>
          <w:ilvl w:val="1"/>
          <w:numId w:val="12"/>
        </w:numPr>
        <w:rPr>
          <w:i/>
          <w:lang w:val="en-US"/>
        </w:rPr>
      </w:pPr>
      <w:r w:rsidRPr="00124449">
        <w:rPr>
          <w:i/>
          <w:lang w:val="en-US"/>
        </w:rPr>
        <w:t>Multiple PRACH transmissions before Msg2 reception in RAR window for initial access</w:t>
      </w:r>
    </w:p>
    <w:p w14:paraId="0BEC24CB" w14:textId="77777777" w:rsidR="0009416B" w:rsidRPr="00124449" w:rsidRDefault="0009416B" w:rsidP="000C277C">
      <w:pPr>
        <w:numPr>
          <w:ilvl w:val="2"/>
          <w:numId w:val="12"/>
        </w:numPr>
        <w:rPr>
          <w:i/>
          <w:lang w:val="en-US"/>
        </w:rPr>
      </w:pPr>
      <w:r w:rsidRPr="00124449">
        <w:rPr>
          <w:i/>
          <w:lang w:val="en-US"/>
        </w:rPr>
        <w:t>Number of allowed transmissions is pre-defined or indicated, e.g., in RMSI</w:t>
      </w:r>
    </w:p>
    <w:p w14:paraId="7D4C3ECB" w14:textId="77777777" w:rsidR="0009416B" w:rsidRPr="00124449" w:rsidRDefault="0009416B" w:rsidP="000C277C">
      <w:pPr>
        <w:numPr>
          <w:ilvl w:val="2"/>
          <w:numId w:val="12"/>
        </w:numPr>
        <w:rPr>
          <w:i/>
          <w:lang w:val="en-US"/>
        </w:rPr>
      </w:pPr>
      <w:r w:rsidRPr="00124449">
        <w:rPr>
          <w:i/>
          <w:lang w:val="en-US"/>
        </w:rPr>
        <w:t>FFS: How to handle potential multiple RARs to same UE</w:t>
      </w:r>
    </w:p>
    <w:p w14:paraId="7111FF65" w14:textId="77777777" w:rsidR="0009416B" w:rsidRPr="0009416B" w:rsidRDefault="0009416B" w:rsidP="000C277C">
      <w:pPr>
        <w:numPr>
          <w:ilvl w:val="1"/>
          <w:numId w:val="12"/>
        </w:numPr>
        <w:rPr>
          <w:lang w:val="en-US"/>
        </w:rPr>
      </w:pPr>
      <w:r w:rsidRPr="00124449">
        <w:rPr>
          <w:i/>
          <w:lang w:val="en-US"/>
        </w:rPr>
        <w:t>Group wise SSB-to-RO mapping by frequency first-time second manner, where grouping is in time domain</w:t>
      </w:r>
    </w:p>
    <w:p w14:paraId="6BA38CB3" w14:textId="77777777" w:rsidR="0009416B" w:rsidRDefault="0009416B" w:rsidP="0009416B"/>
    <w:p w14:paraId="30DAAD44" w14:textId="54AC18D9" w:rsidR="0009416B" w:rsidRPr="004D6F47" w:rsidRDefault="0009416B" w:rsidP="0009416B">
      <w:pPr>
        <w:rPr>
          <w:rFonts w:ascii="Times New Roman" w:hAnsi="Times New Roman"/>
          <w:sz w:val="24"/>
        </w:rPr>
      </w:pPr>
      <w:r w:rsidRPr="0009416B">
        <w:t>Release 15 NR uses 4-step random access procedure like LTE. The 4-step random access procedure consists of Msg-1 (PRACH), Msg-2 (RAR), Msg-3 (RRC connection request) and Msg-4 (contention resolution) transmissions. As per TR38.889, 4 –step RACH procedure can be considered as the baseline for NR-unlicensed and mechanisms to handle LBT related aspects (e.g. reduce</w:t>
      </w:r>
      <w:r w:rsidR="00DB60BE">
        <w:t>d</w:t>
      </w:r>
      <w:r w:rsidRPr="0009416B">
        <w:t xml:space="preserve"> transmission opportunities for Msg. 1/2/3/4) can be further studied. </w:t>
      </w:r>
      <w:r w:rsidR="00DB60BE">
        <w:t>Moreover</w:t>
      </w:r>
      <w:r w:rsidRPr="0009416B">
        <w:t>, several frequency and time domain enhancements were identified in TR38.889 as potential options to RACH resource enhancemen</w:t>
      </w:r>
      <w:r>
        <w:t>ts for unlicensed operation, as mentioned in the above agreement. In</w:t>
      </w:r>
      <w:r w:rsidRPr="0009416B">
        <w:t xml:space="preserve"> this regard, the following enhancements are envisioned for 4-step random access procedure.</w:t>
      </w:r>
    </w:p>
    <w:p w14:paraId="5035DBD3" w14:textId="77777777" w:rsidR="0009416B" w:rsidRPr="004D6F47" w:rsidRDefault="0009416B" w:rsidP="0009416B">
      <w:pPr>
        <w:rPr>
          <w:rFonts w:ascii="Times New Roman" w:hAnsi="Times New Roman"/>
          <w:sz w:val="24"/>
        </w:rPr>
      </w:pPr>
    </w:p>
    <w:p w14:paraId="4F590679" w14:textId="77777777" w:rsidR="00124449" w:rsidRPr="004D6F47" w:rsidRDefault="00124449" w:rsidP="004D6F47">
      <w:pPr>
        <w:pStyle w:val="Heading2"/>
        <w:rPr>
          <w:rFonts w:ascii="Arial" w:hAnsi="Arial"/>
        </w:rPr>
      </w:pPr>
      <w:r w:rsidRPr="004D6F47">
        <w:rPr>
          <w:rFonts w:ascii="Arial" w:hAnsi="Arial"/>
        </w:rPr>
        <w:t>Msg1 enhancement</w:t>
      </w:r>
    </w:p>
    <w:p w14:paraId="36823946" w14:textId="0A222588" w:rsidR="0009416B" w:rsidRPr="0009416B" w:rsidRDefault="0009416B" w:rsidP="0009416B">
      <w:pPr>
        <w:spacing w:before="240" w:after="240"/>
      </w:pPr>
      <w:r w:rsidRPr="004D6F47">
        <w:rPr>
          <w:rFonts w:ascii="Times New Roman" w:hAnsi="Times New Roman"/>
          <w:sz w:val="24"/>
        </w:rPr>
        <w:t>The following agreement was made</w:t>
      </w:r>
      <w:r w:rsidRPr="0009416B">
        <w:t xml:space="preserve"> in RAN1 in the past regarding channel access mechanism during initial access:</w:t>
      </w:r>
    </w:p>
    <w:p w14:paraId="3CDC006E" w14:textId="77777777" w:rsidR="0009416B" w:rsidRPr="0009416B" w:rsidRDefault="0009416B" w:rsidP="0009416B">
      <w:pPr>
        <w:rPr>
          <w:i/>
        </w:rPr>
      </w:pPr>
      <w:r w:rsidRPr="0009416B">
        <w:rPr>
          <w:i/>
          <w:highlight w:val="green"/>
        </w:rPr>
        <w:t>Agreement:</w:t>
      </w:r>
      <w:r w:rsidRPr="0009416B">
        <w:rPr>
          <w:i/>
        </w:rPr>
        <w:t xml:space="preserve"> </w:t>
      </w:r>
    </w:p>
    <w:p w14:paraId="5F09592C" w14:textId="77777777" w:rsidR="0009416B" w:rsidRPr="0009416B" w:rsidRDefault="0009416B" w:rsidP="000C277C">
      <w:pPr>
        <w:numPr>
          <w:ilvl w:val="0"/>
          <w:numId w:val="11"/>
        </w:numPr>
        <w:rPr>
          <w:i/>
        </w:rPr>
      </w:pPr>
      <w:r w:rsidRPr="0009416B">
        <w:rPr>
          <w:i/>
        </w:rPr>
        <w:t>Initial active DL/UL BWP is approximately 20MHz for 5GHz band</w:t>
      </w:r>
    </w:p>
    <w:p w14:paraId="04AEC554" w14:textId="77777777" w:rsidR="0009416B" w:rsidRPr="0009416B" w:rsidRDefault="0009416B" w:rsidP="000C277C">
      <w:pPr>
        <w:numPr>
          <w:ilvl w:val="1"/>
          <w:numId w:val="11"/>
        </w:numPr>
        <w:rPr>
          <w:i/>
        </w:rPr>
      </w:pPr>
      <w:r w:rsidRPr="0009416B">
        <w:rPr>
          <w:i/>
        </w:rPr>
        <w:t>The final value will be quantized to number of PRBs</w:t>
      </w:r>
    </w:p>
    <w:p w14:paraId="3FD4E0E9" w14:textId="77777777" w:rsidR="0009416B" w:rsidRPr="0009416B" w:rsidRDefault="0009416B" w:rsidP="000C277C">
      <w:pPr>
        <w:numPr>
          <w:ilvl w:val="0"/>
          <w:numId w:val="11"/>
        </w:numPr>
      </w:pPr>
      <w:r w:rsidRPr="0009416B">
        <w:rPr>
          <w:i/>
        </w:rPr>
        <w:t>Initial active DL/UL BWP is approximately 20MHz for 6GHz band if similar channelization as 5GHz band is used for 6GHz band</w:t>
      </w:r>
    </w:p>
    <w:p w14:paraId="64C529BA" w14:textId="38578EE1" w:rsidR="0009416B" w:rsidRPr="0009416B" w:rsidRDefault="0009416B" w:rsidP="0009416B">
      <w:r w:rsidRPr="0009416B">
        <w:t xml:space="preserve">As per the above agreement, the initial active UL BWP for 5 GHz band is subject to one sub-band LBT (20 MHz). Consider that a single PRACH resource is configured within one configured initial UL BWP to an idle mode UE for initial access. If 20 MHz spectrum of the UL BWP that includes the PRACH resource for CBRA is occupied by other neighbouring network, </w:t>
      </w:r>
      <w:r w:rsidRPr="0009416B">
        <w:lastRenderedPageBreak/>
        <w:t xml:space="preserve">the preamble transmission has to be delayed to the next </w:t>
      </w:r>
      <w:r w:rsidR="00DB60BE">
        <w:t xml:space="preserve">RACH </w:t>
      </w:r>
      <w:r w:rsidRPr="0009416B">
        <w:t>occasion</w:t>
      </w:r>
      <w:r w:rsidR="00DB60BE">
        <w:t xml:space="preserve"> in time domain</w:t>
      </w:r>
      <w:r w:rsidRPr="0009416B">
        <w:t xml:space="preserve"> and, thereby, the overall initial access delay will increase. </w:t>
      </w:r>
    </w:p>
    <w:p w14:paraId="7ADEB1AA" w14:textId="77777777" w:rsidR="0009416B" w:rsidRPr="0009416B" w:rsidRDefault="0009416B" w:rsidP="0009416B">
      <w:pPr>
        <w:rPr>
          <w:lang w:val="en-US"/>
        </w:rPr>
      </w:pPr>
      <w:r w:rsidRPr="0009416B">
        <w:t>In order to overcome the abovementioned issue, it can be considered that gNB can configure multiple initial BWPs, each with a PRACH resource configuration, as illustrated in the figure below. The configured BWPs may be contiguous or non-contiguous across frequency. Out of these multiple configured BWPs, one single UL BWP is activated based on LBT outcome (each BWP being subject to independent 20 MHz sub-band LBT) at the UE side and UE transmits PRACH on this single activated BWP. In case CCA is successful on multiple configured BWPs, UE selects one BWP out of these multiple candidates as the initial active UL BWP and use the corresponding PRACH resource to transmit the preamble.</w:t>
      </w:r>
    </w:p>
    <w:p w14:paraId="4C52B294" w14:textId="77777777" w:rsidR="0009416B" w:rsidRPr="0009416B" w:rsidRDefault="0009416B" w:rsidP="0009416B">
      <w:pPr>
        <w:rPr>
          <w:lang w:val="en-US"/>
        </w:rPr>
      </w:pPr>
    </w:p>
    <w:p w14:paraId="1B99C04B" w14:textId="77777777" w:rsidR="0009416B" w:rsidRPr="0009416B" w:rsidRDefault="0009416B" w:rsidP="0009416B">
      <w:pPr>
        <w:jc w:val="center"/>
        <w:rPr>
          <w:lang w:val="en-US"/>
        </w:rPr>
      </w:pPr>
      <w:r w:rsidRPr="0009416B">
        <w:rPr>
          <w:lang w:val="en-US"/>
        </w:rPr>
        <w:object w:dxaOrig="12241" w:dyaOrig="11437" w14:anchorId="0A491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228.65pt" o:ole="">
            <v:imagedata r:id="rId16" o:title=""/>
          </v:shape>
          <o:OLEObject Type="Embed" ProgID="Visio.Drawing.15" ShapeID="_x0000_i1025" DrawAspect="Content" ObjectID="_1631985180" r:id="rId17"/>
        </w:object>
      </w:r>
    </w:p>
    <w:p w14:paraId="7472BFA1" w14:textId="77777777" w:rsidR="0009416B" w:rsidRPr="0009416B" w:rsidRDefault="0009416B" w:rsidP="0009416B">
      <w:pPr>
        <w:rPr>
          <w:lang w:val="en-US"/>
        </w:rPr>
      </w:pPr>
      <w:r w:rsidRPr="0009416B">
        <w:rPr>
          <w:lang w:val="en-US"/>
        </w:rPr>
        <w:t xml:space="preserve"> </w:t>
      </w:r>
    </w:p>
    <w:p w14:paraId="712E8124" w14:textId="7F59C071" w:rsidR="0009416B" w:rsidRPr="0009416B" w:rsidRDefault="003F3D34" w:rsidP="0014044E">
      <w:pPr>
        <w:jc w:val="center"/>
        <w:rPr>
          <w:lang w:val="en-US"/>
        </w:rPr>
      </w:pPr>
      <w:r>
        <w:rPr>
          <w:b/>
          <w:lang w:val="en-US"/>
        </w:rPr>
        <w:t>Figure</w:t>
      </w:r>
      <w:r w:rsidR="00E3246F">
        <w:rPr>
          <w:b/>
          <w:lang w:val="en-US"/>
        </w:rPr>
        <w:t xml:space="preserve"> </w:t>
      </w:r>
      <w:r>
        <w:rPr>
          <w:b/>
          <w:lang w:val="en-US"/>
        </w:rPr>
        <w:t>6:</w:t>
      </w:r>
      <w:r w:rsidR="00E3246F">
        <w:rPr>
          <w:b/>
          <w:lang w:val="en-US"/>
        </w:rPr>
        <w:t xml:space="preserve"> </w:t>
      </w:r>
      <w:r w:rsidR="0009416B" w:rsidRPr="0009416B">
        <w:rPr>
          <w:b/>
          <w:lang w:val="en-US"/>
        </w:rPr>
        <w:t>Multiple PRACH resource configurations in frequency domain on multiple configured initial UL BWPs</w:t>
      </w:r>
    </w:p>
    <w:p w14:paraId="201D3372" w14:textId="77777777" w:rsidR="0009416B" w:rsidRPr="0009416B" w:rsidRDefault="0009416B" w:rsidP="0009416B"/>
    <w:p w14:paraId="05538A71" w14:textId="7FB901F8" w:rsidR="00A24AE0" w:rsidRDefault="0009416B" w:rsidP="0009416B">
      <w:pPr>
        <w:rPr>
          <w:b/>
          <w:i/>
          <w:lang w:val="en-US"/>
        </w:rPr>
      </w:pPr>
      <w:r w:rsidRPr="0015118C">
        <w:rPr>
          <w:b/>
          <w:i/>
          <w:lang w:val="en-US"/>
        </w:rPr>
        <w:t>Pr</w:t>
      </w:r>
      <w:r w:rsidR="009605BD">
        <w:rPr>
          <w:b/>
          <w:i/>
          <w:lang w:val="en-US"/>
        </w:rPr>
        <w:t>oposal-7</w:t>
      </w:r>
      <w:r w:rsidRPr="0015118C">
        <w:rPr>
          <w:b/>
          <w:i/>
          <w:lang w:val="en-US"/>
        </w:rPr>
        <w:t>: NR-unlicensed supports multiple PRACH resource configurations in the frequency domain on multiple configured UL BWPs.</w:t>
      </w:r>
    </w:p>
    <w:p w14:paraId="11382F8D" w14:textId="3FC2D327" w:rsidR="00124449" w:rsidRPr="004D6F47" w:rsidRDefault="00124449" w:rsidP="00124449">
      <w:pPr>
        <w:pStyle w:val="Heading2"/>
        <w:rPr>
          <w:rFonts w:ascii="Arial" w:hAnsi="Arial"/>
        </w:rPr>
      </w:pPr>
      <w:r w:rsidRPr="004D6F47">
        <w:rPr>
          <w:rFonts w:ascii="Arial" w:hAnsi="Arial"/>
        </w:rPr>
        <w:t>Msg2 enhancement</w:t>
      </w:r>
    </w:p>
    <w:p w14:paraId="097CD6D3" w14:textId="3428243B" w:rsidR="00124449" w:rsidRDefault="004D6F47" w:rsidP="00AB3380">
      <w:pPr>
        <w:spacing w:before="240" w:after="240"/>
      </w:pPr>
      <w:r w:rsidRPr="004D6F47">
        <w:t xml:space="preserve">In the </w:t>
      </w:r>
      <w:r>
        <w:t xml:space="preserve">last RAN1 meeting </w:t>
      </w:r>
      <w:hyperlink w:anchor="_References" w:history="1">
        <w:r w:rsidRPr="004D6F47">
          <w:rPr>
            <w:rStyle w:val="Hyperlink"/>
          </w:rPr>
          <w:t>[4]</w:t>
        </w:r>
      </w:hyperlink>
      <w:r>
        <w:t>, the following agreement was made related to Msg2 enhancement during initial access:</w:t>
      </w:r>
    </w:p>
    <w:p w14:paraId="7B624C93" w14:textId="77777777" w:rsidR="004D6F47" w:rsidRPr="004D6F47" w:rsidRDefault="004D6F47" w:rsidP="004D6F47">
      <w:pPr>
        <w:rPr>
          <w:i/>
          <w:lang w:val="en-US"/>
        </w:rPr>
      </w:pPr>
      <w:r w:rsidRPr="004D6F47">
        <w:rPr>
          <w:i/>
          <w:highlight w:val="green"/>
          <w:lang w:val="en-US"/>
        </w:rPr>
        <w:t>Agreement:</w:t>
      </w:r>
    </w:p>
    <w:p w14:paraId="0520ABED" w14:textId="77777777" w:rsidR="004D6F47" w:rsidRPr="004D6F47" w:rsidRDefault="004D6F47" w:rsidP="004D6F47">
      <w:pPr>
        <w:rPr>
          <w:i/>
          <w:lang w:val="en-US"/>
        </w:rPr>
      </w:pPr>
      <w:r w:rsidRPr="004D6F47">
        <w:rPr>
          <w:i/>
          <w:lang w:val="en-US"/>
        </w:rPr>
        <w:t>LBT category for msg 3 initial transmission is provided to the UE in RAR</w:t>
      </w:r>
    </w:p>
    <w:p w14:paraId="1B6ECBD1" w14:textId="77777777" w:rsidR="00F612D5" w:rsidRDefault="00F612D5" w:rsidP="00124449"/>
    <w:p w14:paraId="53996F5A" w14:textId="77777777" w:rsidR="00DF74E3" w:rsidRDefault="004D6F47" w:rsidP="00124449">
      <w:r>
        <w:t xml:space="preserve">The main motivation behind the above agreement is to facilitate COT sharing between Msg2 an Msg3 transmissions, such that the LBT congestion for Msg3 is potentially alleviated. In Rel-15 NR, the MAC RAR format </w:t>
      </w:r>
      <w:r w:rsidR="00DF74E3">
        <w:t>is octet aligned and from specification impact perspective, it would be desirable to keep MAC RAR format unchanged while providing LBT category to the UE in RAR.</w:t>
      </w:r>
    </w:p>
    <w:p w14:paraId="20854801" w14:textId="40703C8B" w:rsidR="004D6F47" w:rsidRPr="004D6F47" w:rsidRDefault="00DF74E3" w:rsidP="00DF74E3">
      <w:pPr>
        <w:jc w:val="center"/>
      </w:pPr>
      <w:r w:rsidRPr="000B541D">
        <w:object w:dxaOrig="5712" w:dyaOrig="4428" w14:anchorId="5948F4DA">
          <v:shape id="_x0000_i1026" type="#_x0000_t75" style="width:289.15pt;height:222.35pt" o:ole="">
            <v:imagedata r:id="rId18" o:title=""/>
          </v:shape>
          <o:OLEObject Type="Embed" ProgID="Visio.Drawing.15" ShapeID="_x0000_i1026" DrawAspect="Content" ObjectID="_1631985181" r:id="rId19"/>
        </w:object>
      </w:r>
    </w:p>
    <w:p w14:paraId="154A1E38" w14:textId="4F0AFBD4" w:rsidR="00124449" w:rsidRPr="00E3246F" w:rsidRDefault="003F3D34" w:rsidP="0014044E">
      <w:pPr>
        <w:jc w:val="center"/>
        <w:rPr>
          <w:b/>
          <w:lang w:val="en-US"/>
        </w:rPr>
      </w:pPr>
      <w:r>
        <w:rPr>
          <w:b/>
          <w:lang w:val="en-US"/>
        </w:rPr>
        <w:t>Figure</w:t>
      </w:r>
      <w:r w:rsidR="00E3246F">
        <w:rPr>
          <w:b/>
          <w:lang w:val="en-US"/>
        </w:rPr>
        <w:t xml:space="preserve"> </w:t>
      </w:r>
      <w:r>
        <w:rPr>
          <w:b/>
          <w:lang w:val="en-US"/>
        </w:rPr>
        <w:t>7:</w:t>
      </w:r>
      <w:r w:rsidR="00E3246F">
        <w:rPr>
          <w:b/>
          <w:lang w:val="en-US"/>
        </w:rPr>
        <w:t xml:space="preserve"> </w:t>
      </w:r>
      <w:r w:rsidR="0014044E" w:rsidRPr="00E3246F">
        <w:rPr>
          <w:b/>
          <w:lang w:val="en-US"/>
        </w:rPr>
        <w:t>MAC RAR (octet format)</w:t>
      </w:r>
      <w:r w:rsidR="00BA5C27" w:rsidRPr="00E3246F">
        <w:rPr>
          <w:b/>
          <w:lang w:val="en-US"/>
        </w:rPr>
        <w:t xml:space="preserve"> in Rel-15 NR</w:t>
      </w:r>
    </w:p>
    <w:p w14:paraId="321C4F47" w14:textId="77777777" w:rsidR="00812A47" w:rsidRDefault="00812A47" w:rsidP="0014044E">
      <w:pPr>
        <w:rPr>
          <w:lang w:val="en-US"/>
        </w:rPr>
      </w:pPr>
    </w:p>
    <w:p w14:paraId="0F2D4FBB" w14:textId="7A662584" w:rsidR="00B97DDA" w:rsidRDefault="0014044E" w:rsidP="0014044E">
      <w:pPr>
        <w:rPr>
          <w:lang w:val="en-US"/>
        </w:rPr>
      </w:pPr>
      <w:r>
        <w:rPr>
          <w:lang w:val="en-US"/>
        </w:rPr>
        <w:t xml:space="preserve">One way to indicate LBT category via RAR without changing the existing </w:t>
      </w:r>
      <w:r w:rsidR="00812A47">
        <w:rPr>
          <w:lang w:val="en-US"/>
        </w:rPr>
        <w:t xml:space="preserve">MAC RAR </w:t>
      </w:r>
      <w:r>
        <w:rPr>
          <w:lang w:val="en-US"/>
        </w:rPr>
        <w:t xml:space="preserve">octet alignment would be to embed the </w:t>
      </w:r>
      <w:r w:rsidR="00BB3860">
        <w:rPr>
          <w:lang w:val="en-US"/>
        </w:rPr>
        <w:t>COT sharing</w:t>
      </w:r>
      <w:r>
        <w:rPr>
          <w:lang w:val="en-US"/>
        </w:rPr>
        <w:t xml:space="preserve"> information within RAR UL grant in such a way, that the total number of UL grant field bits (27 bits in Rel-15 NR) remains the same.  </w:t>
      </w:r>
    </w:p>
    <w:p w14:paraId="7607521D" w14:textId="57FD6423" w:rsidR="00812A47" w:rsidRDefault="003F3D34" w:rsidP="00E3246F">
      <w:pPr>
        <w:spacing w:after="0"/>
        <w:jc w:val="center"/>
        <w:rPr>
          <w:lang w:val="en-US"/>
        </w:rPr>
      </w:pPr>
      <w:r>
        <w:rPr>
          <w:b/>
          <w:lang w:val="en-US"/>
        </w:rPr>
        <w:t>Table 3</w:t>
      </w:r>
      <w:r w:rsidR="00E3246F">
        <w:rPr>
          <w:b/>
          <w:lang w:val="en-US"/>
        </w:rPr>
        <w:t xml:space="preserve"> </w:t>
      </w:r>
      <w:r w:rsidR="00E3246F" w:rsidRPr="00E3246F">
        <w:rPr>
          <w:b/>
          <w:lang w:val="en-US"/>
        </w:rPr>
        <w:t>RAR UL grant content field in Rel-15 NR</w:t>
      </w:r>
    </w:p>
    <w:tbl>
      <w:tblPr>
        <w:tblW w:w="0" w:type="auto"/>
        <w:jc w:val="center"/>
        <w:tblLook w:val="01E0" w:firstRow="1" w:lastRow="1" w:firstColumn="1" w:lastColumn="1" w:noHBand="0" w:noVBand="0"/>
      </w:tblPr>
      <w:tblGrid>
        <w:gridCol w:w="3894"/>
        <w:gridCol w:w="1890"/>
      </w:tblGrid>
      <w:tr w:rsidR="00B97DDA" w:rsidRPr="00E9040D" w14:paraId="169882C7"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0B7FF2F" w14:textId="77777777" w:rsidR="00B97DDA" w:rsidRPr="00E9040D" w:rsidRDefault="00B97DDA" w:rsidP="00CD224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DC5569B" w14:textId="77777777" w:rsidR="00B97DDA" w:rsidRPr="00E9040D" w:rsidRDefault="00B97DDA" w:rsidP="00CD2241">
            <w:pPr>
              <w:pStyle w:val="TAH"/>
            </w:pPr>
            <w:r>
              <w:t>Number of bits</w:t>
            </w:r>
          </w:p>
        </w:tc>
      </w:tr>
      <w:tr w:rsidR="00B97DDA" w:rsidRPr="00D171E1" w14:paraId="2763B29B"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14467F2" w14:textId="77777777" w:rsidR="00B97DDA" w:rsidRPr="00D171E1" w:rsidRDefault="00B97DDA" w:rsidP="00CD2241">
            <w:pPr>
              <w:pStyle w:val="TAC"/>
              <w:jc w:val="left"/>
            </w:pPr>
            <w:r w:rsidRPr="00D171E1">
              <w:t xml:space="preserve">Frequency hopping flag </w:t>
            </w:r>
          </w:p>
        </w:tc>
        <w:tc>
          <w:tcPr>
            <w:tcW w:w="1890" w:type="dxa"/>
            <w:tcBorders>
              <w:top w:val="single" w:sz="4" w:space="0" w:color="auto"/>
              <w:left w:val="single" w:sz="4" w:space="0" w:color="auto"/>
              <w:bottom w:val="single" w:sz="4" w:space="0" w:color="auto"/>
              <w:right w:val="single" w:sz="4" w:space="0" w:color="auto"/>
            </w:tcBorders>
            <w:vAlign w:val="center"/>
          </w:tcPr>
          <w:p w14:paraId="08545C40" w14:textId="77777777" w:rsidR="00B97DDA" w:rsidRPr="00D171E1" w:rsidRDefault="00B97DDA" w:rsidP="00CD2241">
            <w:pPr>
              <w:pStyle w:val="TAC"/>
            </w:pPr>
            <w:r w:rsidRPr="00D171E1">
              <w:t>1</w:t>
            </w:r>
          </w:p>
        </w:tc>
      </w:tr>
      <w:tr w:rsidR="00B97DDA" w:rsidRPr="00E9040D" w14:paraId="1FC9E215"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C7B65B" w14:textId="77777777" w:rsidR="00B97DDA" w:rsidRPr="00E9040D" w:rsidRDefault="00B97DDA" w:rsidP="00CD224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6AB96EE" w14:textId="77777777" w:rsidR="00B97DDA" w:rsidRPr="00987D8C" w:rsidRDefault="00B97DDA" w:rsidP="00CD2241">
            <w:pPr>
              <w:pStyle w:val="TAC"/>
              <w:rPr>
                <w:color w:val="FF0000"/>
              </w:rPr>
            </w:pPr>
            <w:r w:rsidRPr="00987D8C">
              <w:t>14</w:t>
            </w:r>
          </w:p>
        </w:tc>
      </w:tr>
      <w:tr w:rsidR="00B97DDA" w:rsidRPr="00E9040D" w14:paraId="3E33B7EA"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F30D42" w14:textId="77777777" w:rsidR="00B97DDA" w:rsidRDefault="00B97DDA" w:rsidP="00CD224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D505758" w14:textId="77777777" w:rsidR="00B97DDA" w:rsidRDefault="00B97DDA" w:rsidP="00CD2241">
            <w:pPr>
              <w:pStyle w:val="TAC"/>
            </w:pPr>
            <w:r>
              <w:t>4</w:t>
            </w:r>
          </w:p>
        </w:tc>
      </w:tr>
      <w:tr w:rsidR="00B97DDA" w:rsidRPr="00E9040D" w14:paraId="161EE32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1236A0B" w14:textId="77777777" w:rsidR="00B97DDA" w:rsidRPr="00E9040D" w:rsidRDefault="00B97DDA" w:rsidP="00CD224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6A80043" w14:textId="77777777" w:rsidR="00B97DDA" w:rsidRPr="00E9040D" w:rsidRDefault="00B97DDA" w:rsidP="00CD2241">
            <w:pPr>
              <w:pStyle w:val="TAC"/>
            </w:pPr>
            <w:r>
              <w:t>4</w:t>
            </w:r>
          </w:p>
        </w:tc>
      </w:tr>
      <w:tr w:rsidR="00B97DDA" w:rsidRPr="00E9040D" w14:paraId="72C93DA8"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9FC4C32" w14:textId="77777777" w:rsidR="00B97DDA" w:rsidRPr="00E9040D" w:rsidRDefault="00B97DDA" w:rsidP="00CD224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F03E086" w14:textId="77777777" w:rsidR="00B97DDA" w:rsidRPr="00E9040D" w:rsidRDefault="00B97DDA" w:rsidP="00CD2241">
            <w:pPr>
              <w:pStyle w:val="TAC"/>
            </w:pPr>
            <w:r>
              <w:t>3</w:t>
            </w:r>
          </w:p>
        </w:tc>
      </w:tr>
      <w:tr w:rsidR="00B97DDA" w:rsidRPr="00D171E1" w14:paraId="67030E7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4F5317" w14:textId="77777777" w:rsidR="00B97DDA" w:rsidRPr="00D171E1" w:rsidRDefault="00B97DDA" w:rsidP="00CD2241">
            <w:pPr>
              <w:pStyle w:val="TAC"/>
              <w:jc w:val="left"/>
              <w:rPr>
                <w:color w:val="FF0000"/>
              </w:rPr>
            </w:pPr>
            <w:r w:rsidRPr="00D171E1">
              <w:t xml:space="preserve">CSI request </w:t>
            </w:r>
          </w:p>
        </w:tc>
        <w:tc>
          <w:tcPr>
            <w:tcW w:w="1890" w:type="dxa"/>
            <w:tcBorders>
              <w:top w:val="single" w:sz="4" w:space="0" w:color="auto"/>
              <w:left w:val="single" w:sz="4" w:space="0" w:color="auto"/>
              <w:bottom w:val="single" w:sz="4" w:space="0" w:color="auto"/>
              <w:right w:val="single" w:sz="4" w:space="0" w:color="auto"/>
            </w:tcBorders>
            <w:vAlign w:val="center"/>
          </w:tcPr>
          <w:p w14:paraId="573352F9" w14:textId="77777777" w:rsidR="00B97DDA" w:rsidRPr="00D171E1" w:rsidRDefault="00B97DDA" w:rsidP="00CD2241">
            <w:pPr>
              <w:pStyle w:val="TAC"/>
              <w:rPr>
                <w:color w:val="FF0000"/>
              </w:rPr>
            </w:pPr>
            <w:r w:rsidRPr="00D171E1">
              <w:t>1</w:t>
            </w:r>
          </w:p>
        </w:tc>
      </w:tr>
    </w:tbl>
    <w:p w14:paraId="65A73E80" w14:textId="77777777" w:rsidR="00812A47" w:rsidRPr="00E3246F" w:rsidRDefault="00812A47" w:rsidP="00B97DDA">
      <w:pPr>
        <w:jc w:val="center"/>
        <w:rPr>
          <w:b/>
          <w:lang w:val="en-US"/>
        </w:rPr>
      </w:pPr>
    </w:p>
    <w:p w14:paraId="4FF50D28" w14:textId="5208E8CA" w:rsidR="00B97DDA" w:rsidRDefault="0014044E" w:rsidP="0014044E">
      <w:pPr>
        <w:rPr>
          <w:lang w:val="en-US"/>
        </w:rPr>
      </w:pPr>
      <w:r>
        <w:rPr>
          <w:lang w:val="en-US"/>
        </w:rPr>
        <w:t>If separate field is introduced for LBT scheme indication</w:t>
      </w:r>
      <w:r w:rsidR="0048060C">
        <w:rPr>
          <w:lang w:val="en-US"/>
        </w:rPr>
        <w:t xml:space="preserve"> (including LBT category and </w:t>
      </w:r>
      <w:r w:rsidR="001A2F2E">
        <w:rPr>
          <w:lang w:val="en-US"/>
        </w:rPr>
        <w:t xml:space="preserve">Msg3 </w:t>
      </w:r>
      <w:r w:rsidR="0048060C">
        <w:rPr>
          <w:lang w:val="en-US"/>
        </w:rPr>
        <w:t xml:space="preserve">PUSCH starting </w:t>
      </w:r>
      <w:r w:rsidR="001A2F2E">
        <w:rPr>
          <w:lang w:val="en-US"/>
        </w:rPr>
        <w:t>position</w:t>
      </w:r>
      <w:r w:rsidR="0048060C">
        <w:rPr>
          <w:lang w:val="en-US"/>
        </w:rPr>
        <w:t>)</w:t>
      </w:r>
      <w:r>
        <w:rPr>
          <w:lang w:val="en-US"/>
        </w:rPr>
        <w:t xml:space="preserve"> in the UL grant field, 1~2 bit(s) from the existing bit fields can be extracted/repurposed and allocated to the newly introduce</w:t>
      </w:r>
      <w:r w:rsidR="00BB3860">
        <w:rPr>
          <w:lang w:val="en-US"/>
        </w:rPr>
        <w:t>d field</w:t>
      </w:r>
      <w:r>
        <w:rPr>
          <w:lang w:val="en-US"/>
        </w:rPr>
        <w:t xml:space="preserve">, so </w:t>
      </w:r>
      <w:r w:rsidR="00BB3860">
        <w:rPr>
          <w:lang w:val="en-US"/>
        </w:rPr>
        <w:t>that</w:t>
      </w:r>
      <w:r>
        <w:rPr>
          <w:lang w:val="en-US"/>
        </w:rPr>
        <w:t xml:space="preserve"> 27 bit</w:t>
      </w:r>
      <w:r w:rsidR="00B97DDA">
        <w:rPr>
          <w:lang w:val="en-US"/>
        </w:rPr>
        <w:t xml:space="preserve">s in total </w:t>
      </w:r>
      <w:r w:rsidR="00BB3860">
        <w:rPr>
          <w:lang w:val="en-US"/>
        </w:rPr>
        <w:t xml:space="preserve">is maintained </w:t>
      </w:r>
      <w:r w:rsidR="00B97DDA">
        <w:rPr>
          <w:lang w:val="en-US"/>
        </w:rPr>
        <w:t>within RAR</w:t>
      </w:r>
      <w:r>
        <w:rPr>
          <w:lang w:val="en-US"/>
        </w:rPr>
        <w:t xml:space="preserve"> UL grant</w:t>
      </w:r>
      <w:r w:rsidR="001A2F2E">
        <w:rPr>
          <w:lang w:val="en-US"/>
        </w:rPr>
        <w:t xml:space="preserve"> [5]</w:t>
      </w:r>
      <w:r w:rsidR="00B97DDA">
        <w:rPr>
          <w:lang w:val="en-US"/>
        </w:rPr>
        <w:t>. Examples of few existing grant field</w:t>
      </w:r>
      <w:r w:rsidR="001C40B5">
        <w:rPr>
          <w:lang w:val="en-US"/>
        </w:rPr>
        <w:t>(</w:t>
      </w:r>
      <w:r w:rsidR="00B97DDA">
        <w:rPr>
          <w:lang w:val="en-US"/>
        </w:rPr>
        <w:t>s</w:t>
      </w:r>
      <w:r w:rsidR="001C40B5">
        <w:rPr>
          <w:lang w:val="en-US"/>
        </w:rPr>
        <w:t>)</w:t>
      </w:r>
      <w:r w:rsidR="00B97DDA">
        <w:rPr>
          <w:lang w:val="en-US"/>
        </w:rPr>
        <w:t>/bit</w:t>
      </w:r>
      <w:r w:rsidR="001C40B5">
        <w:rPr>
          <w:lang w:val="en-US"/>
        </w:rPr>
        <w:t>(</w:t>
      </w:r>
      <w:r w:rsidR="00B97DDA">
        <w:rPr>
          <w:lang w:val="en-US"/>
        </w:rPr>
        <w:t>s</w:t>
      </w:r>
      <w:r w:rsidR="001C40B5">
        <w:rPr>
          <w:lang w:val="en-US"/>
        </w:rPr>
        <w:t>)</w:t>
      </w:r>
      <w:r w:rsidR="00B97DDA">
        <w:rPr>
          <w:lang w:val="en-US"/>
        </w:rPr>
        <w:t xml:space="preserve"> that can be repurposed </w:t>
      </w:r>
      <w:r w:rsidR="00A72A9C">
        <w:rPr>
          <w:lang w:val="en-US"/>
        </w:rPr>
        <w:t xml:space="preserve">and assigned to LBT scheme indication field </w:t>
      </w:r>
      <w:r w:rsidR="00B97DDA">
        <w:rPr>
          <w:lang w:val="en-US"/>
        </w:rPr>
        <w:t>are</w:t>
      </w:r>
      <w:r w:rsidR="001C40B5">
        <w:rPr>
          <w:lang w:val="en-US"/>
        </w:rPr>
        <w:t>:</w:t>
      </w:r>
      <w:r w:rsidR="00B97DDA">
        <w:rPr>
          <w:lang w:val="en-US"/>
        </w:rPr>
        <w:t xml:space="preserve"> </w:t>
      </w:r>
      <w:r w:rsidR="00B97DDA" w:rsidRPr="001C40B5">
        <w:rPr>
          <w:i/>
          <w:lang w:val="en-US"/>
        </w:rPr>
        <w:t>CSI request</w:t>
      </w:r>
      <w:r w:rsidR="00B97DDA">
        <w:rPr>
          <w:lang w:val="en-US"/>
        </w:rPr>
        <w:t xml:space="preserve"> (1 bit is “reserved”), </w:t>
      </w:r>
      <w:r w:rsidR="00B97DDA" w:rsidRPr="001C40B5">
        <w:rPr>
          <w:i/>
          <w:lang w:val="en-US"/>
        </w:rPr>
        <w:t xml:space="preserve">Frequency hopping </w:t>
      </w:r>
      <w:r w:rsidR="00BA5C27" w:rsidRPr="001C40B5">
        <w:rPr>
          <w:i/>
          <w:lang w:val="en-US"/>
        </w:rPr>
        <w:t>flag</w:t>
      </w:r>
      <w:r w:rsidR="00B97DDA">
        <w:rPr>
          <w:lang w:val="en-US"/>
        </w:rPr>
        <w:t xml:space="preserve"> (1 bit-</w:t>
      </w:r>
      <w:r w:rsidR="00BA5C27">
        <w:rPr>
          <w:lang w:val="en-US"/>
        </w:rPr>
        <w:t xml:space="preserve"> can be repurposed since frequency hopping may not be necessary for interlace based Msg3 PUSCH transmission in NR-unlicensed), </w:t>
      </w:r>
      <w:r w:rsidR="00BA5C27" w:rsidRPr="001C40B5">
        <w:rPr>
          <w:i/>
          <w:lang w:val="en-US"/>
        </w:rPr>
        <w:t>PUSCH frequency resource allocation</w:t>
      </w:r>
      <w:r w:rsidR="00BA5C27">
        <w:rPr>
          <w:lang w:val="en-US"/>
        </w:rPr>
        <w:t xml:space="preserve"> (14 bits are </w:t>
      </w:r>
      <w:r w:rsidR="001C40B5">
        <w:rPr>
          <w:lang w:val="en-US"/>
        </w:rPr>
        <w:t>available</w:t>
      </w:r>
      <w:r w:rsidR="00BA5C27">
        <w:rPr>
          <w:lang w:val="en-US"/>
        </w:rPr>
        <w:t xml:space="preserve">, out of which maximum 10 bits </w:t>
      </w:r>
      <w:r w:rsidR="001C40B5">
        <w:rPr>
          <w:lang w:val="en-US"/>
        </w:rPr>
        <w:t>will be</w:t>
      </w:r>
      <w:r w:rsidR="00BA5C27">
        <w:rPr>
          <w:lang w:val="en-US"/>
        </w:rPr>
        <w:t xml:space="preserve"> required for interlace based PUSCH resource allocation within initial active UL BWP</w:t>
      </w:r>
      <w:r w:rsidR="001C40B5">
        <w:rPr>
          <w:lang w:val="en-US"/>
        </w:rPr>
        <w:t xml:space="preserve"> of</w:t>
      </w:r>
      <w:r w:rsidR="00BA5C27">
        <w:rPr>
          <w:lang w:val="en-US"/>
        </w:rPr>
        <w:t xml:space="preserve"> 20 MHz) etc.</w:t>
      </w:r>
    </w:p>
    <w:p w14:paraId="6F2A273A" w14:textId="6C63E92B" w:rsidR="0014044E" w:rsidRDefault="00B97DDA" w:rsidP="0014044E">
      <w:pPr>
        <w:rPr>
          <w:lang w:val="en-US"/>
        </w:rPr>
      </w:pPr>
      <w:r>
        <w:rPr>
          <w:lang w:val="en-US"/>
        </w:rPr>
        <w:t xml:space="preserve">The bit(s) corresponding to the LBT scheme indication field can at least indicate CAT2 or CAT4 LBT (depending on whether COT sharing is enabled or disabled). </w:t>
      </w:r>
    </w:p>
    <w:p w14:paraId="279E998C" w14:textId="77777777" w:rsidR="00812A47" w:rsidRDefault="00812A47" w:rsidP="0014044E">
      <w:pPr>
        <w:rPr>
          <w:lang w:val="en-US"/>
        </w:rPr>
      </w:pPr>
    </w:p>
    <w:p w14:paraId="6E10D176" w14:textId="3E0F2097" w:rsidR="00124449" w:rsidRPr="00124449" w:rsidRDefault="00124449" w:rsidP="00124449">
      <w:pPr>
        <w:rPr>
          <w:b/>
          <w:i/>
          <w:lang w:val="en-US"/>
        </w:rPr>
      </w:pPr>
      <w:r w:rsidRPr="0015118C">
        <w:rPr>
          <w:b/>
          <w:i/>
          <w:lang w:val="en-US"/>
        </w:rPr>
        <w:t>Pr</w:t>
      </w:r>
      <w:r w:rsidR="009605BD">
        <w:rPr>
          <w:b/>
          <w:i/>
          <w:lang w:val="en-US"/>
        </w:rPr>
        <w:t>oposal-8</w:t>
      </w:r>
      <w:r w:rsidRPr="0015118C">
        <w:rPr>
          <w:b/>
          <w:i/>
          <w:lang w:val="en-US"/>
        </w:rPr>
        <w:t xml:space="preserve">: </w:t>
      </w:r>
      <w:r w:rsidRPr="00124449">
        <w:rPr>
          <w:b/>
          <w:i/>
          <w:lang w:val="en-US"/>
        </w:rPr>
        <w:t>LBT scheme</w:t>
      </w:r>
      <w:r w:rsidR="001A2F2E">
        <w:rPr>
          <w:b/>
          <w:i/>
          <w:lang w:val="en-US"/>
        </w:rPr>
        <w:t xml:space="preserve"> and Msg3 PUSCH</w:t>
      </w:r>
      <w:r w:rsidRPr="00124449">
        <w:rPr>
          <w:b/>
          <w:i/>
          <w:lang w:val="en-US"/>
        </w:rPr>
        <w:t xml:space="preserve"> </w:t>
      </w:r>
      <w:r w:rsidR="008F45A7">
        <w:rPr>
          <w:b/>
          <w:i/>
          <w:lang w:val="en-US"/>
        </w:rPr>
        <w:t>starting p</w:t>
      </w:r>
      <w:r w:rsidR="001A2F2E">
        <w:rPr>
          <w:b/>
          <w:i/>
          <w:lang w:val="en-US"/>
        </w:rPr>
        <w:t>osition are</w:t>
      </w:r>
      <w:r w:rsidRPr="00124449">
        <w:rPr>
          <w:b/>
          <w:i/>
          <w:lang w:val="en-US"/>
        </w:rPr>
        <w:t xml:space="preserve"> indicated as </w:t>
      </w:r>
      <w:r w:rsidR="001A2F2E">
        <w:rPr>
          <w:b/>
          <w:i/>
          <w:lang w:val="en-US"/>
        </w:rPr>
        <w:t xml:space="preserve">a </w:t>
      </w:r>
      <w:r w:rsidRPr="00124449">
        <w:rPr>
          <w:b/>
          <w:i/>
          <w:lang w:val="en-US"/>
        </w:rPr>
        <w:t>separate field of UL grant in RAR.</w:t>
      </w:r>
    </w:p>
    <w:p w14:paraId="32C4880D" w14:textId="2DA34EEE" w:rsidR="00124449" w:rsidRDefault="00124449" w:rsidP="000C277C">
      <w:pPr>
        <w:pStyle w:val="ListParagraph"/>
        <w:numPr>
          <w:ilvl w:val="0"/>
          <w:numId w:val="13"/>
        </w:numPr>
        <w:rPr>
          <w:b/>
          <w:i/>
          <w:lang w:val="en-US"/>
        </w:rPr>
      </w:pPr>
      <w:r w:rsidRPr="00124449">
        <w:rPr>
          <w:b/>
          <w:i/>
          <w:lang w:val="en-US"/>
        </w:rPr>
        <w:t xml:space="preserve">LBT scheme can at least indicate whether the LBT is CAT2/4. </w:t>
      </w:r>
    </w:p>
    <w:p w14:paraId="02B71830" w14:textId="3028921B" w:rsidR="00124449" w:rsidRDefault="00124449" w:rsidP="000C277C">
      <w:pPr>
        <w:pStyle w:val="ListParagraph"/>
        <w:numPr>
          <w:ilvl w:val="0"/>
          <w:numId w:val="13"/>
        </w:numPr>
        <w:rPr>
          <w:b/>
          <w:i/>
          <w:lang w:val="en-US"/>
        </w:rPr>
      </w:pPr>
      <w:r w:rsidRPr="00124449">
        <w:rPr>
          <w:b/>
          <w:i/>
          <w:lang w:val="en-US"/>
        </w:rPr>
        <w:t xml:space="preserve">FFS: </w:t>
      </w:r>
      <w:r>
        <w:rPr>
          <w:b/>
          <w:i/>
          <w:lang w:val="en-US"/>
        </w:rPr>
        <w:t>indication of CAT</w:t>
      </w:r>
      <w:r w:rsidR="00BA5C27">
        <w:rPr>
          <w:b/>
          <w:i/>
          <w:lang w:val="en-US"/>
        </w:rPr>
        <w:t>1</w:t>
      </w:r>
      <w:r>
        <w:rPr>
          <w:b/>
          <w:i/>
          <w:lang w:val="en-US"/>
        </w:rPr>
        <w:t>.</w:t>
      </w:r>
    </w:p>
    <w:p w14:paraId="6438573A" w14:textId="406386F4" w:rsidR="00124449" w:rsidRPr="00124449" w:rsidRDefault="00124449" w:rsidP="000C277C">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444BBFBA" w14:textId="77777777" w:rsidR="00551550" w:rsidRDefault="00551550" w:rsidP="00551550">
      <w:r w:rsidRPr="00551550">
        <w:t xml:space="preserve">To take into account </w:t>
      </w:r>
      <w:r>
        <w:t>the</w:t>
      </w:r>
      <w:r w:rsidRPr="00551550">
        <w:t xml:space="preserve"> possible delay in RAR transmission </w:t>
      </w:r>
      <w:r>
        <w:t xml:space="preserve">due to LBT congestion </w:t>
      </w:r>
      <w:r w:rsidRPr="00551550">
        <w:t xml:space="preserve">in unlicensed operation, it has been agreed in </w:t>
      </w:r>
      <w:r>
        <w:t>RAN2</w:t>
      </w:r>
      <w:r w:rsidRPr="00551550">
        <w:t xml:space="preserve"> to extend the RAR window size (from 10 ms to [20] ms) for NR-unlicensed operation.</w:t>
      </w:r>
      <w:r>
        <w:t xml:space="preserve"> In NR, The RA-RNTI associated with the PRACH occasion in which the Random Access Preamble is transmitted, is computed as:</w:t>
      </w:r>
    </w:p>
    <w:p w14:paraId="11F08D46" w14:textId="51E5CF2E" w:rsidR="00551550" w:rsidRPr="00551550" w:rsidRDefault="00551550" w:rsidP="00551550">
      <w:pPr>
        <w:jc w:val="center"/>
        <w:rPr>
          <w:i/>
        </w:rPr>
      </w:pPr>
      <w:r w:rsidRPr="00551550">
        <w:rPr>
          <w:i/>
        </w:rPr>
        <w:t>RA-RNTI = 1 + s_id + 14 × t_id + 14 × 80 × f_id + 14 × 80 × 8 × ul_carrier_id</w:t>
      </w:r>
    </w:p>
    <w:p w14:paraId="2D6CFE7D" w14:textId="54687FB5" w:rsidR="00BC5A1C" w:rsidRPr="00551550" w:rsidRDefault="00551550" w:rsidP="00551550">
      <w:r>
        <w:rPr>
          <w:rFonts w:hint="eastAsia"/>
        </w:rPr>
        <w:lastRenderedPageBreak/>
        <w:t xml:space="preserve">where s_id is the index of the first OFDM symbol of the PRACH occasion (0 </w:t>
      </w:r>
      <w:r>
        <w:rPr>
          <w:rFonts w:hint="eastAsia"/>
        </w:rPr>
        <w:t>≤</w:t>
      </w:r>
      <w:r>
        <w:rPr>
          <w:rFonts w:hint="eastAsia"/>
        </w:rPr>
        <w:t xml:space="preserve"> s_id &lt; 14), t_id is the index of the first slot of the PRACH occasion in a system frame (0 </w:t>
      </w:r>
      <w:r>
        <w:rPr>
          <w:rFonts w:hint="eastAsia"/>
        </w:rPr>
        <w:t>≤</w:t>
      </w:r>
      <w:r>
        <w:rPr>
          <w:rFonts w:hint="eastAsia"/>
        </w:rPr>
        <w:t xml:space="preserve"> t_id &lt; 80), where the subcarrier spacing to determine t_id is based on the value of </w:t>
      </w:r>
      <w:r>
        <w:rPr>
          <w:rFonts w:hint="eastAsia"/>
        </w:rPr>
        <w:t>μ</w:t>
      </w:r>
      <w:r>
        <w:rPr>
          <w:rFonts w:hint="eastAsia"/>
        </w:rPr>
        <w:t xml:space="preserve"> specified in subclause 5.3.2 in 3GPP TS 38.211 v15.5.0, f_id is the index of the PRACH occasion in the frequency domain (0 </w:t>
      </w:r>
      <w:r>
        <w:rPr>
          <w:rFonts w:hint="eastAsia"/>
        </w:rPr>
        <w:t>≤</w:t>
      </w:r>
      <w:r>
        <w:rPr>
          <w:rFonts w:hint="eastAsia"/>
        </w:rPr>
        <w:t xml:space="preserve"> f_id &lt; 8), and ul_carrier_id is the UL carrier used for Random Access Preamble transmission (0 for NUL carrier, and 1 for SUL carrie</w:t>
      </w:r>
      <w:r>
        <w:t>r).</w:t>
      </w:r>
    </w:p>
    <w:p w14:paraId="11295C50" w14:textId="5B30AA34" w:rsidR="00551550" w:rsidRPr="00551550" w:rsidRDefault="00551550" w:rsidP="00551550">
      <w:r w:rsidRPr="00551550">
        <w:t>RA-RNTI calculation doesn’t take into account System Frame Number (SFN) in NR, since max configurable RAR window size in NR is 10 ms (1 frame) and the minimum periodicity with which same RO (i.e. same RA-RNTI) can occur is 10 ms or 1 frame as well (</w:t>
      </w:r>
      <w:r w:rsidR="007568B3">
        <w:t>n</w:t>
      </w:r>
      <w:r w:rsidR="007568B3">
        <w:rPr>
          <w:vertAlign w:val="subscript"/>
        </w:rPr>
        <w:t>SFN</w:t>
      </w:r>
      <w:r w:rsidRPr="00551550">
        <w:t xml:space="preserve"> mod x=y; x=1,</w:t>
      </w:r>
      <w:r w:rsidR="007568B3">
        <w:t xml:space="preserve"> </w:t>
      </w:r>
      <w:r w:rsidRPr="00551550">
        <w:t>y=0), which implies that within RAR window, RA-RNTIs are unique.</w:t>
      </w:r>
    </w:p>
    <w:p w14:paraId="2A98F102" w14:textId="652EFD46" w:rsidR="00BC5A1C" w:rsidRDefault="00551550" w:rsidP="00551550">
      <w:r w:rsidRPr="00551550">
        <w:t>But with enhancement of RAR window size beyond 10 ms, there’s a possibility with the current NR RA-RNTI calculation framework that multiple ROs corresponding to the same RA-RNTI may occur within the extended RAR window. Hence, if more than one UEs happen to use these ROs for preamble transmission, then due</w:t>
      </w:r>
      <w:r w:rsidR="00E12AFB">
        <w:t xml:space="preserve"> to overlap in their RAR window, </w:t>
      </w:r>
      <w:r w:rsidRPr="00551550">
        <w:t xml:space="preserve">RAR with the same RA-RNTI may be received </w:t>
      </w:r>
      <w:r w:rsidR="00E12AFB">
        <w:t>by these UEs. T</w:t>
      </w:r>
      <w:r w:rsidRPr="00551550">
        <w:t>here would be no way to distinguish between these RARs unless these RA-RNTIs are made unique or SFN is conveyed in the DCI/RAR.</w:t>
      </w:r>
    </w:p>
    <w:p w14:paraId="4C6D0420" w14:textId="7A072F63" w:rsidR="00BC5A1C" w:rsidRDefault="00E12AFB" w:rsidP="00124449">
      <w:pPr>
        <w:rPr>
          <w:b/>
          <w:i/>
        </w:rPr>
      </w:pPr>
      <w:r>
        <w:t>Since there are already 16 reserved bits in DCI format 1_0 (with CRC scrambled with RA-RNTI), the most straightforward way to include SFN information is to use 1-bit out of these 16 reserved bits to indicate 1-bit LSB of SFN, which is sufficient for 20 ms RAR window.</w:t>
      </w:r>
    </w:p>
    <w:p w14:paraId="67CE3449" w14:textId="77777777" w:rsidR="00BC5A1C" w:rsidRDefault="00BC5A1C" w:rsidP="00124449">
      <w:pPr>
        <w:rPr>
          <w:b/>
          <w:i/>
        </w:rPr>
      </w:pPr>
    </w:p>
    <w:p w14:paraId="426DC795" w14:textId="5B5FB3F2" w:rsidR="00124449" w:rsidRDefault="009605BD" w:rsidP="00124449">
      <w:pPr>
        <w:rPr>
          <w:b/>
          <w:i/>
        </w:rPr>
      </w:pPr>
      <w:r>
        <w:rPr>
          <w:b/>
          <w:i/>
        </w:rPr>
        <w:t>Proposal-9</w:t>
      </w:r>
      <w:r w:rsidR="00546449" w:rsidRPr="00546449">
        <w:rPr>
          <w:b/>
          <w:i/>
        </w:rPr>
        <w:t xml:space="preserve">: </w:t>
      </w:r>
      <w:r w:rsidR="00546449">
        <w:rPr>
          <w:b/>
          <w:i/>
        </w:rPr>
        <w:t>Include SFN information in DCI format 1_0 (CRC scrambled with RA-RNTI) using the reserved bits to distinguish between RA-RNTIs associated with RARs for different UEs received within overlapping RAR window (enhanced beyond 10 ms) in NR-unlicensed.</w:t>
      </w:r>
    </w:p>
    <w:p w14:paraId="74FE6A66" w14:textId="77777777" w:rsidR="007568B3" w:rsidRPr="00546449" w:rsidRDefault="007568B3" w:rsidP="00124449">
      <w:pPr>
        <w:rPr>
          <w:b/>
          <w:i/>
        </w:rPr>
      </w:pPr>
    </w:p>
    <w:p w14:paraId="2EADF193" w14:textId="01B531A8" w:rsidR="00A24AE0" w:rsidRPr="004D6F47" w:rsidRDefault="00124449" w:rsidP="00124449">
      <w:pPr>
        <w:pStyle w:val="Heading2"/>
        <w:rPr>
          <w:rFonts w:ascii="Arial" w:hAnsi="Arial"/>
        </w:rPr>
      </w:pPr>
      <w:r w:rsidRPr="004D6F47">
        <w:rPr>
          <w:rFonts w:ascii="Arial" w:hAnsi="Arial"/>
        </w:rPr>
        <w:t xml:space="preserve">Msg3 enhancement </w:t>
      </w:r>
    </w:p>
    <w:p w14:paraId="786AF57F" w14:textId="28C5D036" w:rsidR="00B31424" w:rsidRDefault="00B31424" w:rsidP="00B31424">
      <w:pPr>
        <w:spacing w:before="240" w:after="240"/>
      </w:pPr>
      <w:r>
        <w:t>RAN2 had sent an LS to RAN1 [3] requesting for RAN1’s feedback on support of multiple msg3 transmission opportunities for 4-step RACH in NR-unlicensed. RAN2 had discussed multiple msg3 transmission opportunities to alleviate the LBT impact and inferred that multiple grants can be provided to UE via a single RAR or having multiple RARs. In addition, RAN2 also discussed the possibility of msg2 sharing COT with msg3, which can be an alternative way to reduce LBT congestion for msg3 transmission.</w:t>
      </w:r>
    </w:p>
    <w:p w14:paraId="1F3EAC89" w14:textId="165E65D7" w:rsidR="00124449" w:rsidRPr="00B31424" w:rsidRDefault="00B31424" w:rsidP="00B31424">
      <w:pPr>
        <w:spacing w:before="240" w:after="240"/>
      </w:pPr>
      <w:r w:rsidRPr="00B31424">
        <w:t>In reply</w:t>
      </w:r>
      <w:r>
        <w:t>ing to an LS from RAN2, RAN1 made the following agreement in the last meeting [4]:</w:t>
      </w:r>
    </w:p>
    <w:p w14:paraId="49B6B61D" w14:textId="77777777" w:rsidR="00B31424" w:rsidRPr="00B31424" w:rsidRDefault="00B31424" w:rsidP="00B31424">
      <w:pPr>
        <w:rPr>
          <w:i/>
          <w:lang w:val="en-US"/>
        </w:rPr>
      </w:pPr>
      <w:r w:rsidRPr="00B31424">
        <w:rPr>
          <w:i/>
          <w:highlight w:val="green"/>
          <w:lang w:val="en-US"/>
        </w:rPr>
        <w:t>Agreement:</w:t>
      </w:r>
    </w:p>
    <w:p w14:paraId="017545D0" w14:textId="77777777" w:rsidR="00B31424" w:rsidRPr="00B31424" w:rsidRDefault="00B31424" w:rsidP="00B31424">
      <w:pPr>
        <w:rPr>
          <w:i/>
          <w:lang w:val="en-US"/>
        </w:rPr>
      </w:pPr>
      <w:r w:rsidRPr="00B31424">
        <w:rPr>
          <w:i/>
          <w:lang w:val="en-US"/>
        </w:rPr>
        <w:t>Reply to the RAN2 LS informing them of the following:</w:t>
      </w:r>
    </w:p>
    <w:p w14:paraId="0B03F6C9" w14:textId="77777777" w:rsidR="00B31424" w:rsidRPr="00B31424" w:rsidRDefault="00B31424" w:rsidP="00B31424">
      <w:pPr>
        <w:numPr>
          <w:ilvl w:val="0"/>
          <w:numId w:val="16"/>
        </w:numPr>
        <w:spacing w:after="0"/>
        <w:jc w:val="left"/>
        <w:rPr>
          <w:i/>
          <w:lang w:val="en-US"/>
        </w:rPr>
      </w:pPr>
      <w:r w:rsidRPr="00B31424">
        <w:rPr>
          <w:i/>
          <w:lang w:val="en-US"/>
        </w:rPr>
        <w:t>RAN1 has made the following agreement which facilitates COT sharing between Msg2 and Msg3:</w:t>
      </w:r>
    </w:p>
    <w:p w14:paraId="321F35AB" w14:textId="77777777" w:rsidR="00B31424" w:rsidRPr="00B31424" w:rsidRDefault="00B31424" w:rsidP="00B31424">
      <w:pPr>
        <w:numPr>
          <w:ilvl w:val="1"/>
          <w:numId w:val="16"/>
        </w:numPr>
        <w:spacing w:after="0"/>
        <w:jc w:val="left"/>
        <w:rPr>
          <w:i/>
          <w:lang w:val="en-US"/>
        </w:rPr>
      </w:pPr>
      <w:r w:rsidRPr="00B31424">
        <w:rPr>
          <w:i/>
          <w:lang w:val="en-US"/>
        </w:rPr>
        <w:t>LBT category for msg 3 initial transmission is provided to the UE in RAR</w:t>
      </w:r>
    </w:p>
    <w:p w14:paraId="725AAC62" w14:textId="154F7F36" w:rsidR="00B31424" w:rsidRDefault="00B31424" w:rsidP="00B31424">
      <w:pPr>
        <w:numPr>
          <w:ilvl w:val="0"/>
          <w:numId w:val="16"/>
        </w:numPr>
        <w:spacing w:after="0"/>
        <w:jc w:val="left"/>
        <w:rPr>
          <w:i/>
          <w:lang w:val="en-US"/>
        </w:rPr>
      </w:pPr>
      <w:r w:rsidRPr="00B31424">
        <w:rPr>
          <w:i/>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3A354467" w14:textId="447E5A7E" w:rsidR="00B31424" w:rsidRDefault="00B31424" w:rsidP="00B31424">
      <w:pPr>
        <w:spacing w:after="0"/>
        <w:jc w:val="left"/>
        <w:rPr>
          <w:i/>
          <w:lang w:val="en-US"/>
        </w:rPr>
      </w:pPr>
    </w:p>
    <w:p w14:paraId="3E627E66" w14:textId="2AEF5762" w:rsidR="00F815E5" w:rsidRPr="00B31424" w:rsidRDefault="00F815E5" w:rsidP="009C4F40">
      <w:pPr>
        <w:spacing w:after="0"/>
        <w:rPr>
          <w:i/>
          <w:lang w:val="en-US"/>
        </w:rPr>
      </w:pPr>
      <w:r>
        <w:t xml:space="preserve">From RAN1’s perspective, there haven’t been any discussion yet regarding the need of multiple msg3 transmission opportunities from physical layer perspective. However, RAN1 has already agreed to facilitate COT sharing between Msg2 and Msg3, as mentioned in the agreement quoted above. </w:t>
      </w:r>
      <w:r w:rsidRPr="00F815E5">
        <w:t>In this case, depending on the UL grant, the gap between msg3 and the end of DL burst within the gNB’s shared COT can be adjusted such that msg3 can either be transmitted without performing any LBT (for gap &lt;16 µs) or using single-shot (or CAT 2) LBT. With high priority channel access provision for msg3 transmission within gNB’s shared COT, any further enhancement in RACH procedure (e.g. multiple msg3 transmission opportunities) may not bring any significant improvement to the performance of RACH procedure</w:t>
      </w:r>
      <w:r>
        <w:t>.</w:t>
      </w:r>
      <w:r w:rsidR="00F16070">
        <w:t xml:space="preserve"> </w:t>
      </w:r>
      <w:r w:rsidR="00E86297">
        <w:t>Furthermore, HARQ is already supported for msg3 transmission. Therefore, even though the UE miss</w:t>
      </w:r>
      <w:r w:rsidR="00DC5C7E">
        <w:t>es</w:t>
      </w:r>
      <w:r w:rsidR="00E86297">
        <w:t xml:space="preserve"> the chance for transmitting initial transmission of msg3</w:t>
      </w:r>
      <w:r w:rsidR="00DC5C7E">
        <w:t xml:space="preserve"> due to LBT failure</w:t>
      </w:r>
      <w:r w:rsidR="00E86297">
        <w:t>, additional transmission of msg3 can be performed by the form of HARQ</w:t>
      </w:r>
      <w:r w:rsidR="00DC5C7E">
        <w:t xml:space="preserve"> retransmission</w:t>
      </w:r>
      <w:r w:rsidR="00E86297">
        <w:t>. Support of HARQ for msg3 also decreases the motivation to introduce multiple opportunities for msg3. Considering the above aspects</w:t>
      </w:r>
      <w:r w:rsidR="00F16070">
        <w:t>, in our view, support of multiple Msg3 transmission opportunities is not necessary.</w:t>
      </w:r>
    </w:p>
    <w:p w14:paraId="5453F32E" w14:textId="77777777" w:rsidR="00124449" w:rsidRDefault="00124449" w:rsidP="0009416B"/>
    <w:p w14:paraId="33A52013" w14:textId="3B2EF40A" w:rsidR="00124449" w:rsidRDefault="00124449" w:rsidP="0009416B">
      <w:pPr>
        <w:rPr>
          <w:b/>
          <w:i/>
          <w:lang w:val="en-US"/>
        </w:rPr>
      </w:pPr>
      <w:r w:rsidRPr="0015118C">
        <w:rPr>
          <w:b/>
          <w:i/>
          <w:lang w:val="en-US"/>
        </w:rPr>
        <w:t>Pr</w:t>
      </w:r>
      <w:r>
        <w:rPr>
          <w:b/>
          <w:i/>
          <w:lang w:val="en-US"/>
        </w:rPr>
        <w:t>oposal-1</w:t>
      </w:r>
      <w:r w:rsidR="009605BD">
        <w:rPr>
          <w:b/>
          <w:i/>
          <w:lang w:val="en-US"/>
        </w:rPr>
        <w:t>0</w:t>
      </w:r>
      <w:r>
        <w:rPr>
          <w:b/>
          <w:i/>
          <w:lang w:val="en-US"/>
        </w:rPr>
        <w:t xml:space="preserve">: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2C7926D6" w14:textId="77777777" w:rsidR="00F16070" w:rsidRPr="002F40BE" w:rsidRDefault="00F16070" w:rsidP="0009416B">
      <w:pPr>
        <w:rPr>
          <w:lang w:val="en-US"/>
        </w:rPr>
      </w:pPr>
    </w:p>
    <w:p w14:paraId="250ED979" w14:textId="33CE5F97" w:rsidR="00E817B1" w:rsidRDefault="00E817B1" w:rsidP="00203947">
      <w:pPr>
        <w:pStyle w:val="Heading1"/>
        <w:ind w:hanging="522"/>
        <w:rPr>
          <w:lang w:val="en-US"/>
        </w:rPr>
      </w:pPr>
      <w:r w:rsidRPr="00E817B1">
        <w:rPr>
          <w:lang w:val="en-US"/>
        </w:rPr>
        <w:t>Conclusion</w:t>
      </w:r>
      <w:r w:rsidR="005B63AA">
        <w:rPr>
          <w:lang w:val="en-US"/>
        </w:rPr>
        <w:t>s</w:t>
      </w:r>
    </w:p>
    <w:p w14:paraId="2860549B" w14:textId="654AD441" w:rsidR="003D116D" w:rsidRPr="00E36F66" w:rsidRDefault="00DF4441" w:rsidP="00E36F66">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t>
      </w:r>
      <w:r w:rsidR="005E5356">
        <w:rPr>
          <w:b w:val="0"/>
          <w:snapToGrid/>
          <w:kern w:val="2"/>
          <w:sz w:val="20"/>
        </w:rPr>
        <w:t>we</w:t>
      </w:r>
      <w:r>
        <w:rPr>
          <w:b w:val="0"/>
          <w:snapToGrid/>
          <w:kern w:val="2"/>
          <w:sz w:val="20"/>
        </w:rPr>
        <w:t xml:space="preserve"> made the following proposals</w:t>
      </w:r>
      <w:r w:rsidR="001E0626">
        <w:rPr>
          <w:b w:val="0"/>
          <w:snapToGrid/>
          <w:kern w:val="2"/>
          <w:sz w:val="20"/>
        </w:rPr>
        <w:t>/observations</w:t>
      </w:r>
      <w:r>
        <w:rPr>
          <w:b w:val="0"/>
          <w:snapToGrid/>
          <w:kern w:val="2"/>
          <w:sz w:val="20"/>
        </w:rPr>
        <w:t xml:space="preserve">: </w:t>
      </w:r>
    </w:p>
    <w:p w14:paraId="2985D5CC" w14:textId="77777777" w:rsidR="00EF0FFD" w:rsidRDefault="00EF0FFD" w:rsidP="00EF0FFD">
      <w:pPr>
        <w:rPr>
          <w:b/>
          <w:i/>
        </w:rPr>
      </w:pPr>
      <w:r w:rsidRPr="005C1E26">
        <w:rPr>
          <w:b/>
          <w:i/>
        </w:rPr>
        <w:t>Observation</w:t>
      </w:r>
      <w:r>
        <w:rPr>
          <w:b/>
          <w:i/>
        </w:rPr>
        <w:t>-1</w:t>
      </w:r>
      <w:r w:rsidRPr="005C1E26">
        <w:rPr>
          <w:b/>
          <w:i/>
        </w:rPr>
        <w:t>: Placement of Q in PBCH/MIB allows for flexibility in the UE obtaining neighbour cell Q for improving RRM measurements.</w:t>
      </w:r>
    </w:p>
    <w:p w14:paraId="2AC32084" w14:textId="77777777" w:rsidR="002A34B1" w:rsidRPr="004E5BC2" w:rsidRDefault="002A34B1" w:rsidP="002A34B1">
      <w:r w:rsidRPr="005C1E26">
        <w:rPr>
          <w:b/>
          <w:i/>
          <w:szCs w:val="20"/>
        </w:rPr>
        <w:t>Proposal</w:t>
      </w:r>
      <w:r>
        <w:rPr>
          <w:b/>
          <w:i/>
          <w:szCs w:val="20"/>
        </w:rPr>
        <w:t>-2</w:t>
      </w:r>
      <w:r w:rsidRPr="005C1E26">
        <w:rPr>
          <w:b/>
          <w:i/>
          <w:szCs w:val="20"/>
        </w:rPr>
        <w:t xml:space="preserve">: </w:t>
      </w:r>
      <w:r>
        <w:rPr>
          <w:b/>
          <w:i/>
          <w:szCs w:val="20"/>
        </w:rPr>
        <w:t>Extend</w:t>
      </w:r>
      <w:r w:rsidRPr="005C1E26">
        <w:rPr>
          <w:b/>
          <w:i/>
          <w:szCs w:val="20"/>
        </w:rPr>
        <w:t xml:space="preserve"> PDCCH monitoring of a search space associated with CO</w:t>
      </w:r>
      <w:r>
        <w:rPr>
          <w:b/>
          <w:i/>
          <w:szCs w:val="20"/>
        </w:rPr>
        <w:t>RESET#0 to a set of SS/PBCH block indices</w:t>
      </w:r>
      <w:r w:rsidRPr="005C1E26">
        <w:rPr>
          <w:b/>
          <w:i/>
          <w:szCs w:val="20"/>
        </w:rPr>
        <w:t xml:space="preserve"> that are QCL</w:t>
      </w:r>
    </w:p>
    <w:p w14:paraId="372B240A" w14:textId="1DD264E9" w:rsidR="00EF0FFD" w:rsidRPr="004E5BC2" w:rsidRDefault="002A34B1" w:rsidP="00EF0FFD">
      <w:r w:rsidRPr="005C1E26">
        <w:rPr>
          <w:b/>
          <w:i/>
          <w:szCs w:val="20"/>
        </w:rPr>
        <w:t>Proposal</w:t>
      </w:r>
      <w:r>
        <w:rPr>
          <w:b/>
          <w:i/>
          <w:szCs w:val="20"/>
        </w:rPr>
        <w:t>-3</w:t>
      </w:r>
      <w:r w:rsidRPr="005C1E26">
        <w:rPr>
          <w:b/>
          <w:i/>
          <w:szCs w:val="20"/>
        </w:rPr>
        <w:t xml:space="preserve">: </w:t>
      </w:r>
      <w:r>
        <w:rPr>
          <w:b/>
          <w:i/>
          <w:szCs w:val="20"/>
        </w:rPr>
        <w:t>A</w:t>
      </w:r>
      <w:r w:rsidRPr="005C1E26">
        <w:rPr>
          <w:b/>
          <w:i/>
          <w:szCs w:val="20"/>
        </w:rPr>
        <w:t xml:space="preserve"> bit position in </w:t>
      </w:r>
      <w:r w:rsidRPr="005C1E26">
        <w:rPr>
          <w:b/>
          <w:i/>
          <w:iCs/>
          <w:szCs w:val="20"/>
        </w:rPr>
        <w:t xml:space="preserve">ssb-PositionsInBurst </w:t>
      </w:r>
      <w:r>
        <w:rPr>
          <w:b/>
          <w:i/>
          <w:iCs/>
          <w:szCs w:val="20"/>
        </w:rPr>
        <w:t>should</w:t>
      </w:r>
      <w:r w:rsidRPr="005C1E26">
        <w:rPr>
          <w:b/>
          <w:i/>
          <w:iCs/>
          <w:szCs w:val="20"/>
        </w:rPr>
        <w:t xml:space="preserve"> </w:t>
      </w:r>
      <w:r>
        <w:rPr>
          <w:b/>
          <w:i/>
          <w:iCs/>
          <w:szCs w:val="20"/>
        </w:rPr>
        <w:t>indicate</w:t>
      </w:r>
      <w:r w:rsidRPr="005C1E26">
        <w:rPr>
          <w:b/>
          <w:i/>
          <w:iCs/>
          <w:szCs w:val="20"/>
        </w:rPr>
        <w:t xml:space="preserve"> a </w:t>
      </w:r>
      <w:r>
        <w:rPr>
          <w:b/>
          <w:i/>
          <w:iCs/>
          <w:szCs w:val="20"/>
        </w:rPr>
        <w:t>set of SS/PBCH block indices</w:t>
      </w:r>
      <w:r w:rsidRPr="005C1E26">
        <w:rPr>
          <w:b/>
          <w:i/>
          <w:iCs/>
          <w:szCs w:val="20"/>
        </w:rPr>
        <w:t xml:space="preserve"> that are QCL</w:t>
      </w:r>
      <w:r>
        <w:rPr>
          <w:b/>
          <w:i/>
          <w:iCs/>
          <w:szCs w:val="20"/>
        </w:rPr>
        <w:t>. This new interpretation affects PDSCH rate-matching and mapping of SSB indices to PRACH occasions</w:t>
      </w:r>
      <w:r w:rsidR="00EF0FFD">
        <w:rPr>
          <w:b/>
          <w:i/>
          <w:iCs/>
          <w:szCs w:val="20"/>
        </w:rPr>
        <w:t>.</w:t>
      </w:r>
    </w:p>
    <w:p w14:paraId="6A5458B6" w14:textId="0C852824" w:rsidR="002A34B1" w:rsidRPr="004E5BC2" w:rsidRDefault="002A34B1" w:rsidP="002A34B1">
      <w:r w:rsidRPr="005C1E26">
        <w:rPr>
          <w:b/>
          <w:i/>
          <w:szCs w:val="20"/>
        </w:rPr>
        <w:t>Proposal</w:t>
      </w:r>
      <w:r>
        <w:rPr>
          <w:b/>
          <w:i/>
          <w:szCs w:val="20"/>
        </w:rPr>
        <w:t>-4</w:t>
      </w:r>
      <w:r w:rsidRPr="005C1E26">
        <w:rPr>
          <w:b/>
          <w:i/>
          <w:szCs w:val="20"/>
        </w:rPr>
        <w:t xml:space="preserve">: </w:t>
      </w:r>
      <w:r w:rsidR="00FD25B1">
        <w:rPr>
          <w:b/>
          <w:i/>
          <w:szCs w:val="20"/>
        </w:rPr>
        <w:t>Specify</w:t>
      </w:r>
      <w:r>
        <w:rPr>
          <w:b/>
          <w:i/>
          <w:szCs w:val="20"/>
        </w:rPr>
        <w:t xml:space="preserve"> CO threshold and RMTC configuration for NR (similar to LTE) along with LBT sub-band configuration to enable RSSI and CO reporting per sub-band.</w:t>
      </w:r>
    </w:p>
    <w:p w14:paraId="58CF16C3" w14:textId="29510E47" w:rsidR="002A34B1" w:rsidRPr="004E5BC2" w:rsidRDefault="002A34B1" w:rsidP="002A34B1">
      <w:r w:rsidRPr="0015118C">
        <w:rPr>
          <w:b/>
          <w:i/>
        </w:rPr>
        <w:t>Proposal</w:t>
      </w:r>
      <w:r>
        <w:rPr>
          <w:b/>
          <w:i/>
        </w:rPr>
        <w:t>-5</w:t>
      </w:r>
      <w:r w:rsidRPr="0015118C">
        <w:rPr>
          <w:b/>
          <w:i/>
        </w:rPr>
        <w:t xml:space="preserve">: </w:t>
      </w:r>
      <w:r w:rsidR="00FD25B1">
        <w:rPr>
          <w:b/>
          <w:i/>
        </w:rPr>
        <w:t>Specify</w:t>
      </w:r>
      <w:r w:rsidRPr="0015118C">
        <w:rPr>
          <w:b/>
          <w:i/>
        </w:rPr>
        <w:t xml:space="preserve"> configuration of </w:t>
      </w:r>
      <w:r>
        <w:rPr>
          <w:b/>
          <w:i/>
        </w:rPr>
        <w:t xml:space="preserve">mobility </w:t>
      </w:r>
      <w:r w:rsidRPr="0015118C">
        <w:rPr>
          <w:b/>
          <w:i/>
        </w:rPr>
        <w:t xml:space="preserve">CSI-RS </w:t>
      </w:r>
      <w:r>
        <w:rPr>
          <w:b/>
          <w:i/>
        </w:rPr>
        <w:t xml:space="preserve">time instances as an offset to an associated SSB for </w:t>
      </w:r>
      <w:r w:rsidRPr="0015118C">
        <w:rPr>
          <w:b/>
          <w:i/>
        </w:rPr>
        <w:t xml:space="preserve">RRM measurements where CSI-RS is </w:t>
      </w:r>
      <w:r>
        <w:rPr>
          <w:b/>
          <w:i/>
        </w:rPr>
        <w:t>multiplexed with</w:t>
      </w:r>
      <w:r w:rsidRPr="0015118C">
        <w:rPr>
          <w:b/>
          <w:i/>
        </w:rPr>
        <w:t xml:space="preserve"> DRS transmission.</w:t>
      </w:r>
    </w:p>
    <w:p w14:paraId="6C4892E3" w14:textId="0106275E" w:rsidR="00EF0FFD" w:rsidRDefault="00EF0FFD" w:rsidP="00EF0FFD">
      <w:pPr>
        <w:rPr>
          <w:b/>
          <w:i/>
          <w:szCs w:val="20"/>
          <w:lang w:val="en-US"/>
        </w:rPr>
      </w:pPr>
      <w:r>
        <w:rPr>
          <w:b/>
          <w:i/>
          <w:szCs w:val="20"/>
          <w:lang w:val="en-US"/>
        </w:rPr>
        <w:t>Proposal-6</w:t>
      </w:r>
      <w:r w:rsidRPr="0015118C">
        <w:rPr>
          <w:b/>
          <w:i/>
          <w:szCs w:val="20"/>
          <w:lang w:val="en-US"/>
        </w:rPr>
        <w:t xml:space="preserve">: </w:t>
      </w:r>
      <w:r w:rsidR="00FD25B1">
        <w:rPr>
          <w:b/>
          <w:i/>
          <w:szCs w:val="20"/>
          <w:lang w:val="en-US"/>
        </w:rPr>
        <w:t>Specify</w:t>
      </w:r>
      <w:r w:rsidRPr="0015118C">
        <w:rPr>
          <w:b/>
          <w:i/>
          <w:szCs w:val="20"/>
          <w:lang w:val="en-US"/>
        </w:rPr>
        <w:t xml:space="preserve"> indicating a third indicator type (e.g. failed to detect – FTD indication) to higher layers in addition to IS and OOS indications.</w:t>
      </w:r>
    </w:p>
    <w:p w14:paraId="7A8C5F67" w14:textId="77777777" w:rsidR="00EF0FFD" w:rsidRDefault="00EF0FFD" w:rsidP="00EF0FFD">
      <w:pPr>
        <w:rPr>
          <w:b/>
          <w:i/>
          <w:lang w:val="en-US"/>
        </w:rPr>
      </w:pPr>
      <w:r w:rsidRPr="0015118C">
        <w:rPr>
          <w:b/>
          <w:i/>
          <w:lang w:val="en-US"/>
        </w:rPr>
        <w:t>Pr</w:t>
      </w:r>
      <w:r>
        <w:rPr>
          <w:b/>
          <w:i/>
          <w:lang w:val="en-US"/>
        </w:rPr>
        <w:t>oposal-7</w:t>
      </w:r>
      <w:r w:rsidRPr="0015118C">
        <w:rPr>
          <w:b/>
          <w:i/>
          <w:lang w:val="en-US"/>
        </w:rPr>
        <w:t>: NR-unlicensed supports multiple PRACH resource configurations in the frequency domain on multiple configured UL BWPs.</w:t>
      </w:r>
    </w:p>
    <w:p w14:paraId="34FA77A2" w14:textId="7E006358" w:rsidR="00EF0FFD" w:rsidRPr="00124449" w:rsidRDefault="00EF0FFD" w:rsidP="00EF0FFD">
      <w:pPr>
        <w:rPr>
          <w:b/>
          <w:i/>
          <w:lang w:val="en-US"/>
        </w:rPr>
      </w:pPr>
      <w:r w:rsidRPr="0015118C">
        <w:rPr>
          <w:b/>
          <w:i/>
          <w:lang w:val="en-US"/>
        </w:rPr>
        <w:t>Pr</w:t>
      </w:r>
      <w:r>
        <w:rPr>
          <w:b/>
          <w:i/>
          <w:lang w:val="en-US"/>
        </w:rPr>
        <w:t>oposal-8</w:t>
      </w:r>
      <w:r w:rsidRPr="0015118C">
        <w:rPr>
          <w:b/>
          <w:i/>
          <w:lang w:val="en-US"/>
        </w:rPr>
        <w:t xml:space="preserve">: </w:t>
      </w:r>
      <w:r w:rsidRPr="00124449">
        <w:rPr>
          <w:b/>
          <w:i/>
          <w:lang w:val="en-US"/>
        </w:rPr>
        <w:t>LBT scheme</w:t>
      </w:r>
      <w:r>
        <w:rPr>
          <w:b/>
          <w:i/>
          <w:lang w:val="en-US"/>
        </w:rPr>
        <w:t xml:space="preserve"> and Msg3 PUSCH</w:t>
      </w:r>
      <w:r w:rsidRPr="00124449">
        <w:rPr>
          <w:b/>
          <w:i/>
          <w:lang w:val="en-US"/>
        </w:rPr>
        <w:t xml:space="preserve"> </w:t>
      </w:r>
      <w:r>
        <w:rPr>
          <w:b/>
          <w:i/>
          <w:lang w:val="en-US"/>
        </w:rPr>
        <w:t>starting position are</w:t>
      </w:r>
      <w:r w:rsidRPr="00124449">
        <w:rPr>
          <w:b/>
          <w:i/>
          <w:lang w:val="en-US"/>
        </w:rPr>
        <w:t xml:space="preserve"> indicated as </w:t>
      </w:r>
      <w:r>
        <w:rPr>
          <w:b/>
          <w:i/>
          <w:lang w:val="en-US"/>
        </w:rPr>
        <w:t xml:space="preserve">a </w:t>
      </w:r>
      <w:r w:rsidRPr="00124449">
        <w:rPr>
          <w:b/>
          <w:i/>
          <w:lang w:val="en-US"/>
        </w:rPr>
        <w:t>separate field of UL grant in RAR.</w:t>
      </w:r>
    </w:p>
    <w:p w14:paraId="07CC46CA" w14:textId="77777777" w:rsidR="00EF0FFD" w:rsidRDefault="00EF0FFD" w:rsidP="00EF0FFD">
      <w:pPr>
        <w:pStyle w:val="ListParagraph"/>
        <w:numPr>
          <w:ilvl w:val="0"/>
          <w:numId w:val="13"/>
        </w:numPr>
        <w:rPr>
          <w:b/>
          <w:i/>
          <w:lang w:val="en-US"/>
        </w:rPr>
      </w:pPr>
      <w:r w:rsidRPr="00124449">
        <w:rPr>
          <w:b/>
          <w:i/>
          <w:lang w:val="en-US"/>
        </w:rPr>
        <w:t xml:space="preserve">LBT scheme can at least indicate whether the LBT is CAT2/4. </w:t>
      </w:r>
    </w:p>
    <w:p w14:paraId="42C46B0E" w14:textId="77777777" w:rsidR="00EF0FFD" w:rsidRDefault="00EF0FFD" w:rsidP="00EF0FFD">
      <w:pPr>
        <w:pStyle w:val="ListParagraph"/>
        <w:numPr>
          <w:ilvl w:val="0"/>
          <w:numId w:val="13"/>
        </w:numPr>
        <w:rPr>
          <w:b/>
          <w:i/>
          <w:lang w:val="en-US"/>
        </w:rPr>
      </w:pPr>
      <w:r w:rsidRPr="00124449">
        <w:rPr>
          <w:b/>
          <w:i/>
          <w:lang w:val="en-US"/>
        </w:rPr>
        <w:t xml:space="preserve">FFS: </w:t>
      </w:r>
      <w:r>
        <w:rPr>
          <w:b/>
          <w:i/>
          <w:lang w:val="en-US"/>
        </w:rPr>
        <w:t>indication of CAT1.</w:t>
      </w:r>
    </w:p>
    <w:p w14:paraId="3C3A59F6" w14:textId="2E44D427" w:rsidR="00EF0FFD" w:rsidRDefault="00EF0FFD" w:rsidP="00EF0FFD">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625C7071" w14:textId="77777777" w:rsidR="00EF0FFD" w:rsidRPr="00EF0FFD" w:rsidRDefault="00EF0FFD" w:rsidP="00EF0FFD">
      <w:pPr>
        <w:rPr>
          <w:b/>
          <w:i/>
        </w:rPr>
      </w:pPr>
      <w:r w:rsidRPr="00EF0FFD">
        <w:rPr>
          <w:b/>
          <w:i/>
        </w:rPr>
        <w:t>Proposal-9: Include SFN information in DCI format 1_0 (CRC scrambled with RA-RNTI) using the reserved bits to distinguish between RA-RNTIs associated with RARs for different UEs received within overlapping RAR window (enhanced beyond 10 ms) in NR-unlicensed.</w:t>
      </w:r>
    </w:p>
    <w:p w14:paraId="07ACD00A" w14:textId="77777777" w:rsidR="00EF0FFD" w:rsidRDefault="00EF0FFD" w:rsidP="00EF0FFD">
      <w:pPr>
        <w:rPr>
          <w:b/>
          <w:i/>
          <w:lang w:val="en-US"/>
        </w:rPr>
      </w:pPr>
      <w:r w:rsidRPr="0015118C">
        <w:rPr>
          <w:b/>
          <w:i/>
          <w:lang w:val="en-US"/>
        </w:rPr>
        <w:t>Pr</w:t>
      </w:r>
      <w:r>
        <w:rPr>
          <w:b/>
          <w:i/>
          <w:lang w:val="en-US"/>
        </w:rPr>
        <w:t xml:space="preserve">oposal-10: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5FD288B1" w14:textId="0BB5B1CE" w:rsidR="00546449" w:rsidRPr="00E55CF6" w:rsidRDefault="00546449" w:rsidP="00546449">
      <w:pPr>
        <w:rPr>
          <w:b/>
          <w:i/>
        </w:rPr>
      </w:pPr>
    </w:p>
    <w:p w14:paraId="21836984" w14:textId="5AEC897A" w:rsidR="002D043C" w:rsidRDefault="00427643" w:rsidP="00C10B94">
      <w:pPr>
        <w:pStyle w:val="Heading1"/>
        <w:keepNext w:val="0"/>
        <w:widowControl w:val="0"/>
        <w:numPr>
          <w:ilvl w:val="0"/>
          <w:numId w:val="0"/>
        </w:numPr>
        <w:spacing w:before="480" w:after="120"/>
      </w:pPr>
      <w:bookmarkStart w:id="8" w:name="_References"/>
      <w:bookmarkEnd w:id="8"/>
      <w:r w:rsidRPr="0099619E">
        <w:rPr>
          <w:sz w:val="28"/>
          <w:lang w:val="en-US"/>
        </w:rPr>
        <w:t>References</w:t>
      </w:r>
    </w:p>
    <w:p w14:paraId="709A026B" w14:textId="1564BA79" w:rsidR="00B47B13" w:rsidRDefault="00B47B13" w:rsidP="001B6BA9">
      <w:pPr>
        <w:pStyle w:val="BodyText"/>
        <w:rPr>
          <w:lang w:val="en-US"/>
        </w:rPr>
      </w:pPr>
      <w:bookmarkStart w:id="9"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bookmarkEnd w:id="9"/>
    <w:p w14:paraId="32563815" w14:textId="17A7F836"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sidR="002E3EEA">
        <w:rPr>
          <w:rFonts w:ascii="Times New Roman" w:hAnsi="Times New Roman"/>
          <w:kern w:val="2"/>
          <w:szCs w:val="20"/>
          <w:lang w:val="en-US" w:eastAsia="ko-KR"/>
        </w:rPr>
        <w:t>2</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sidR="00DB60BE">
        <w:rPr>
          <w:rFonts w:ascii="Times New Roman" w:hAnsi="Times New Roman"/>
          <w:kern w:val="2"/>
          <w:szCs w:val="20"/>
          <w:lang w:val="en-US" w:eastAsia="ko-KR"/>
        </w:rPr>
        <w:t xml:space="preserve">Athens, Greece,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4BBA485" w14:textId="32FFC1A6" w:rsidR="00A24AE0" w:rsidRDefault="00A24AE0"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[3] R2-1905444, “LS in RACH agreements for NR-U”, 3GPP TSG RAN WSG2 Meeting #105bis, Xi’an, China, April 2019.</w:t>
      </w:r>
    </w:p>
    <w:p w14:paraId="027348ED" w14:textId="1FECE535" w:rsidR="00DB60BE" w:rsidRDefault="00DB60BE"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 xml:space="preserve">[4] </w:t>
      </w:r>
      <w:r w:rsidRPr="009B41F3">
        <w:rPr>
          <w:rFonts w:ascii="Times New Roman" w:hAnsi="Times New Roman"/>
          <w:kern w:val="2"/>
          <w:szCs w:val="20"/>
          <w:lang w:val="en-US" w:eastAsia="ko-KR"/>
        </w:rPr>
        <w:t>RAN1 Chairman’s note, 3GPP TSG RAN WG1 Meeting #</w:t>
      </w:r>
      <w:r>
        <w:rPr>
          <w:rFonts w:ascii="Times New Roman" w:hAnsi="Times New Roman"/>
          <w:kern w:val="2"/>
          <w:szCs w:val="20"/>
          <w:lang w:val="en-US" w:eastAsia="ko-KR"/>
        </w:rPr>
        <w:t>97</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Reno, NV, USA, May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636312B9" w14:textId="4E8EA97C" w:rsidR="001A2F2E" w:rsidRDefault="001A2F2E"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[5] R1-1910640, “Channel access mechanism for NR-unlicensed”, Intel Corporation, 3GPP TSG RAN WG1 Meeting #98bis, Oct. 2019.</w:t>
      </w:r>
    </w:p>
    <w:sectPr w:rsidR="001A2F2E" w:rsidSect="0012020F">
      <w:footerReference w:type="defaul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C4D8F" w14:textId="77777777" w:rsidR="0078105B" w:rsidRDefault="0078105B"/>
  </w:endnote>
  <w:endnote w:type="continuationSeparator" w:id="0">
    <w:p w14:paraId="128F7950" w14:textId="77777777" w:rsidR="0078105B" w:rsidRDefault="00781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48060C" w:rsidRDefault="0048060C">
    <w:pPr>
      <w:pStyle w:val="Footer"/>
    </w:pPr>
  </w:p>
  <w:p w14:paraId="1006896D" w14:textId="77777777" w:rsidR="0048060C" w:rsidRDefault="004806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1946B" w14:textId="77777777" w:rsidR="0078105B" w:rsidRDefault="0078105B"/>
  </w:footnote>
  <w:footnote w:type="continuationSeparator" w:id="0">
    <w:p w14:paraId="22C92588" w14:textId="77777777" w:rsidR="0078105B" w:rsidRDefault="0078105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63974"/>
    <w:multiLevelType w:val="hybridMultilevel"/>
    <w:tmpl w:val="13AAB83A"/>
    <w:lvl w:ilvl="0" w:tplc="2D428B28">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0E7069"/>
    <w:multiLevelType w:val="hybridMultilevel"/>
    <w:tmpl w:val="B8A643E0"/>
    <w:lvl w:ilvl="0" w:tplc="A8CE86D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
  </w:num>
  <w:num w:numId="4">
    <w:abstractNumId w:val="0"/>
  </w:num>
  <w:num w:numId="5">
    <w:abstractNumId w:val="15"/>
  </w:num>
  <w:num w:numId="6">
    <w:abstractNumId w:val="5"/>
  </w:num>
  <w:num w:numId="7">
    <w:abstractNumId w:val="10"/>
  </w:num>
  <w:num w:numId="8">
    <w:abstractNumId w:val="9"/>
  </w:num>
  <w:num w:numId="9">
    <w:abstractNumId w:val="11"/>
  </w:num>
  <w:num w:numId="10">
    <w:abstractNumId w:val="8"/>
  </w:num>
  <w:num w:numId="11">
    <w:abstractNumId w:val="1"/>
  </w:num>
  <w:num w:numId="12">
    <w:abstractNumId w:val="17"/>
  </w:num>
  <w:num w:numId="13">
    <w:abstractNumId w:val="12"/>
  </w:num>
  <w:num w:numId="14">
    <w:abstractNumId w:val="7"/>
  </w:num>
  <w:num w:numId="15">
    <w:abstractNumId w:val="3"/>
  </w:num>
  <w:num w:numId="16">
    <w:abstractNumId w:val="19"/>
  </w:num>
  <w:num w:numId="17">
    <w:abstractNumId w:val="18"/>
  </w:num>
  <w:num w:numId="18">
    <w:abstractNumId w:val="6"/>
  </w:num>
  <w:num w:numId="19">
    <w:abstractNumId w:val="14"/>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5E5C"/>
    <w:rsid w:val="00007449"/>
    <w:rsid w:val="000078D4"/>
    <w:rsid w:val="000079E9"/>
    <w:rsid w:val="00007F5E"/>
    <w:rsid w:val="00010F11"/>
    <w:rsid w:val="00011215"/>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40F"/>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3B30"/>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3D2"/>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3FF"/>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B3C"/>
    <w:rsid w:val="002E2FC8"/>
    <w:rsid w:val="002E3343"/>
    <w:rsid w:val="002E3C2A"/>
    <w:rsid w:val="002E3C45"/>
    <w:rsid w:val="002E3EEA"/>
    <w:rsid w:val="002E465B"/>
    <w:rsid w:val="002E47F2"/>
    <w:rsid w:val="002E4BE8"/>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4FB9"/>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16D"/>
    <w:rsid w:val="003D1214"/>
    <w:rsid w:val="003D167D"/>
    <w:rsid w:val="003D1706"/>
    <w:rsid w:val="003D1B49"/>
    <w:rsid w:val="003D35C3"/>
    <w:rsid w:val="003D363D"/>
    <w:rsid w:val="003D3802"/>
    <w:rsid w:val="003D3BBB"/>
    <w:rsid w:val="003D40EF"/>
    <w:rsid w:val="003D4453"/>
    <w:rsid w:val="003D4E20"/>
    <w:rsid w:val="003D5316"/>
    <w:rsid w:val="003D5810"/>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9C3"/>
    <w:rsid w:val="005459CD"/>
    <w:rsid w:val="0054615F"/>
    <w:rsid w:val="00546203"/>
    <w:rsid w:val="00546449"/>
    <w:rsid w:val="005468AA"/>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05B"/>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C7CB3"/>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374"/>
    <w:rsid w:val="008034C9"/>
    <w:rsid w:val="008038EE"/>
    <w:rsid w:val="00806ACB"/>
    <w:rsid w:val="00806B0A"/>
    <w:rsid w:val="008073D4"/>
    <w:rsid w:val="0080748A"/>
    <w:rsid w:val="00807EB8"/>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80C"/>
    <w:rsid w:val="009C58AD"/>
    <w:rsid w:val="009C6173"/>
    <w:rsid w:val="009C690C"/>
    <w:rsid w:val="009C6CE5"/>
    <w:rsid w:val="009C7034"/>
    <w:rsid w:val="009D1D4A"/>
    <w:rsid w:val="009D2295"/>
    <w:rsid w:val="009D22F3"/>
    <w:rsid w:val="009D2531"/>
    <w:rsid w:val="009D2BA6"/>
    <w:rsid w:val="009D3034"/>
    <w:rsid w:val="009D3BC6"/>
    <w:rsid w:val="009D4717"/>
    <w:rsid w:val="009D4C97"/>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6BFE"/>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8EE"/>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1201"/>
    <w:rsid w:val="00BB1454"/>
    <w:rsid w:val="00BB174B"/>
    <w:rsid w:val="00BB1DCF"/>
    <w:rsid w:val="00BB1F99"/>
    <w:rsid w:val="00BB1FA1"/>
    <w:rsid w:val="00BB3860"/>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3C33"/>
    <w:rsid w:val="00DC4227"/>
    <w:rsid w:val="00DC461C"/>
    <w:rsid w:val="00DC47EC"/>
    <w:rsid w:val="00DC4F8B"/>
    <w:rsid w:val="00DC547E"/>
    <w:rsid w:val="00DC5C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DF74E3"/>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0BEB"/>
    <w:rsid w:val="00EE1820"/>
    <w:rsid w:val="00EE1E09"/>
    <w:rsid w:val="00EE25B3"/>
    <w:rsid w:val="00EE3A79"/>
    <w:rsid w:val="00EE439E"/>
    <w:rsid w:val="00EE4941"/>
    <w:rsid w:val="00EE522C"/>
    <w:rsid w:val="00EE5B6C"/>
    <w:rsid w:val="00EE6080"/>
    <w:rsid w:val="00EE69DA"/>
    <w:rsid w:val="00EF08A5"/>
    <w:rsid w:val="00EF0FFD"/>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89D7D-DD03-4214-BF23-82E473B7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106</TotalTime>
  <Pages>10</Pages>
  <Words>4165</Words>
  <Characters>21020</Characters>
  <Application>Microsoft Office Word</Application>
  <DocSecurity>0</DocSecurity>
  <Lines>407</Lines>
  <Paragraphs>227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25067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34</cp:revision>
  <cp:lastPrinted>2017-10-24T05:18:00Z</cp:lastPrinted>
  <dcterms:created xsi:type="dcterms:W3CDTF">2019-10-04T07:50:00Z</dcterms:created>
  <dcterms:modified xsi:type="dcterms:W3CDTF">2019-10-08T03:27:00Z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40a78b99-4b63-4d6a-8b22-9729c8fb689e</vt:lpwstr>
  </property>
  <property fmtid="{D5CDD505-2E9C-101B-9397-08002B2CF9AE}" pid="3" name="CTP_TimeStamp">
    <vt:lpwstr>2019-10-08 03:27:01Z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